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7802B" w14:textId="342F8406" w:rsidR="00D63ADE" w:rsidRDefault="00D63ADE"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r>
        <w:rPr>
          <w:rFonts w:ascii="Times New Roman" w:hAnsi="Times New Roman" w:cs="Times New Roman"/>
          <w:b/>
          <w:color w:val="000000" w:themeColor="text1"/>
        </w:rPr>
        <w:t>This is the accepted version of the following paper:</w:t>
      </w:r>
    </w:p>
    <w:p w14:paraId="1DE8B4D8" w14:textId="7394364E" w:rsidR="00D63ADE" w:rsidRDefault="00D63ADE"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p>
    <w:p w14:paraId="0D7CDBDF" w14:textId="77777777" w:rsidR="00D63ADE" w:rsidRPr="00D63ADE" w:rsidRDefault="00D63ADE" w:rsidP="00D63ADE">
      <w:pPr>
        <w:rPr>
          <w:rFonts w:ascii="Times New Roman" w:eastAsia="Times New Roman" w:hAnsi="Times New Roman" w:cs="Times New Roman"/>
          <w:lang w:val="it-IT" w:eastAsia="it-IT"/>
        </w:rPr>
      </w:pPr>
      <w:r w:rsidRPr="00D63ADE">
        <w:rPr>
          <w:rFonts w:ascii="Arial" w:eastAsia="Times New Roman" w:hAnsi="Arial" w:cs="Arial"/>
          <w:color w:val="222222"/>
          <w:sz w:val="20"/>
          <w:szCs w:val="20"/>
          <w:shd w:val="clear" w:color="auto" w:fill="FFFFFF"/>
          <w:lang w:val="en-US" w:eastAsia="it-IT"/>
        </w:rPr>
        <w:t>Maiorano, D., Thapar</w:t>
      </w:r>
      <w:r w:rsidRPr="00D63ADE">
        <w:rPr>
          <w:rFonts w:ascii="Cambria Math" w:eastAsia="Times New Roman" w:hAnsi="Cambria Math" w:cs="Cambria Math"/>
          <w:color w:val="222222"/>
          <w:sz w:val="20"/>
          <w:szCs w:val="20"/>
          <w:shd w:val="clear" w:color="auto" w:fill="FFFFFF"/>
          <w:lang w:val="en-US" w:eastAsia="it-IT"/>
        </w:rPr>
        <w:t>‐</w:t>
      </w:r>
      <w:proofErr w:type="spellStart"/>
      <w:r w:rsidRPr="00D63ADE">
        <w:rPr>
          <w:rFonts w:ascii="Arial" w:eastAsia="Times New Roman" w:hAnsi="Arial" w:cs="Arial"/>
          <w:color w:val="222222"/>
          <w:sz w:val="20"/>
          <w:szCs w:val="20"/>
          <w:shd w:val="clear" w:color="auto" w:fill="FFFFFF"/>
          <w:lang w:val="en-US" w:eastAsia="it-IT"/>
        </w:rPr>
        <w:t>Björkert</w:t>
      </w:r>
      <w:proofErr w:type="spellEnd"/>
      <w:r w:rsidRPr="00D63ADE">
        <w:rPr>
          <w:rFonts w:ascii="Arial" w:eastAsia="Times New Roman" w:hAnsi="Arial" w:cs="Arial"/>
          <w:color w:val="222222"/>
          <w:sz w:val="20"/>
          <w:szCs w:val="20"/>
          <w:shd w:val="clear" w:color="auto" w:fill="FFFFFF"/>
          <w:lang w:val="en-US" w:eastAsia="it-IT"/>
        </w:rPr>
        <w:t xml:space="preserve">, S., &amp; </w:t>
      </w:r>
      <w:proofErr w:type="spellStart"/>
      <w:r w:rsidRPr="00D63ADE">
        <w:rPr>
          <w:rFonts w:ascii="Arial" w:eastAsia="Times New Roman" w:hAnsi="Arial" w:cs="Arial"/>
          <w:color w:val="222222"/>
          <w:sz w:val="20"/>
          <w:szCs w:val="20"/>
          <w:shd w:val="clear" w:color="auto" w:fill="FFFFFF"/>
          <w:lang w:val="en-US" w:eastAsia="it-IT"/>
        </w:rPr>
        <w:t>Blomkvist</w:t>
      </w:r>
      <w:proofErr w:type="spellEnd"/>
      <w:r w:rsidRPr="00D63ADE">
        <w:rPr>
          <w:rFonts w:ascii="Arial" w:eastAsia="Times New Roman" w:hAnsi="Arial" w:cs="Arial"/>
          <w:color w:val="222222"/>
          <w:sz w:val="20"/>
          <w:szCs w:val="20"/>
          <w:shd w:val="clear" w:color="auto" w:fill="FFFFFF"/>
          <w:lang w:val="en-US" w:eastAsia="it-IT"/>
        </w:rPr>
        <w:t>, H. (2022). Politics as negotiation: Changing caste norms in rural India. </w:t>
      </w:r>
      <w:r w:rsidRPr="00D63ADE">
        <w:rPr>
          <w:rFonts w:ascii="Arial" w:eastAsia="Times New Roman" w:hAnsi="Arial" w:cs="Arial"/>
          <w:i/>
          <w:iCs/>
          <w:color w:val="222222"/>
          <w:sz w:val="20"/>
          <w:szCs w:val="20"/>
          <w:shd w:val="clear" w:color="auto" w:fill="FFFFFF"/>
          <w:lang w:val="it-IT" w:eastAsia="it-IT"/>
        </w:rPr>
        <w:t xml:space="preserve">Development and </w:t>
      </w:r>
      <w:proofErr w:type="spellStart"/>
      <w:r w:rsidRPr="00D63ADE">
        <w:rPr>
          <w:rFonts w:ascii="Arial" w:eastAsia="Times New Roman" w:hAnsi="Arial" w:cs="Arial"/>
          <w:i/>
          <w:iCs/>
          <w:color w:val="222222"/>
          <w:sz w:val="20"/>
          <w:szCs w:val="20"/>
          <w:shd w:val="clear" w:color="auto" w:fill="FFFFFF"/>
          <w:lang w:val="it-IT" w:eastAsia="it-IT"/>
        </w:rPr>
        <w:t>Change</w:t>
      </w:r>
      <w:proofErr w:type="spellEnd"/>
      <w:r w:rsidRPr="00D63ADE">
        <w:rPr>
          <w:rFonts w:ascii="Arial" w:eastAsia="Times New Roman" w:hAnsi="Arial" w:cs="Arial"/>
          <w:color w:val="222222"/>
          <w:sz w:val="20"/>
          <w:szCs w:val="20"/>
          <w:shd w:val="clear" w:color="auto" w:fill="FFFFFF"/>
          <w:lang w:val="it-IT" w:eastAsia="it-IT"/>
        </w:rPr>
        <w:t>, </w:t>
      </w:r>
      <w:r w:rsidRPr="00D63ADE">
        <w:rPr>
          <w:rFonts w:ascii="Arial" w:eastAsia="Times New Roman" w:hAnsi="Arial" w:cs="Arial"/>
          <w:i/>
          <w:iCs/>
          <w:color w:val="222222"/>
          <w:sz w:val="20"/>
          <w:szCs w:val="20"/>
          <w:shd w:val="clear" w:color="auto" w:fill="FFFFFF"/>
          <w:lang w:val="it-IT" w:eastAsia="it-IT"/>
        </w:rPr>
        <w:t>53</w:t>
      </w:r>
      <w:r w:rsidRPr="00D63ADE">
        <w:rPr>
          <w:rFonts w:ascii="Arial" w:eastAsia="Times New Roman" w:hAnsi="Arial" w:cs="Arial"/>
          <w:color w:val="222222"/>
          <w:sz w:val="20"/>
          <w:szCs w:val="20"/>
          <w:shd w:val="clear" w:color="auto" w:fill="FFFFFF"/>
          <w:lang w:val="it-IT" w:eastAsia="it-IT"/>
        </w:rPr>
        <w:t>(1), 217-248.</w:t>
      </w:r>
    </w:p>
    <w:p w14:paraId="491A8BDE" w14:textId="77777777" w:rsidR="00D63ADE" w:rsidRDefault="00D63ADE" w:rsidP="00D63ADE">
      <w:pPr>
        <w:rPr>
          <w:rFonts w:ascii="Times New Roman" w:hAnsi="Times New Roman" w:cs="Times New Roman"/>
          <w:b/>
          <w:color w:val="000000" w:themeColor="text1"/>
        </w:rPr>
      </w:pPr>
    </w:p>
    <w:p w14:paraId="0917DB93" w14:textId="77777777" w:rsidR="00D63ADE" w:rsidRDefault="00D63ADE" w:rsidP="00D63ADE">
      <w:pPr>
        <w:rPr>
          <w:rFonts w:ascii="Times New Roman" w:hAnsi="Times New Roman" w:cs="Times New Roman"/>
          <w:b/>
          <w:color w:val="000000" w:themeColor="text1"/>
        </w:rPr>
      </w:pPr>
    </w:p>
    <w:p w14:paraId="2FFF4676" w14:textId="1A74ACDA" w:rsidR="00D63ADE" w:rsidRPr="00D63ADE" w:rsidRDefault="00D63ADE" w:rsidP="00D63ADE">
      <w:pPr>
        <w:rPr>
          <w:rFonts w:eastAsia="Times New Roman"/>
          <w:lang w:val="en-US"/>
        </w:rPr>
      </w:pPr>
      <w:r>
        <w:rPr>
          <w:rFonts w:ascii="Times New Roman" w:hAnsi="Times New Roman" w:cs="Times New Roman"/>
          <w:b/>
          <w:color w:val="000000" w:themeColor="text1"/>
        </w:rPr>
        <w:t xml:space="preserve">DOI: </w:t>
      </w:r>
      <w:hyperlink r:id="rId8" w:history="1">
        <w:r>
          <w:rPr>
            <w:rStyle w:val="Collegamentoipertestuale"/>
            <w:rFonts w:ascii="Open Sans" w:hAnsi="Open Sans" w:cs="Open Sans"/>
            <w:b/>
            <w:bCs/>
            <w:color w:val="005274"/>
            <w:sz w:val="21"/>
            <w:szCs w:val="21"/>
            <w:shd w:val="clear" w:color="auto" w:fill="FFFFFF"/>
          </w:rPr>
          <w:t>https://doi.org/10.1111/dech.12654</w:t>
        </w:r>
      </w:hyperlink>
    </w:p>
    <w:p w14:paraId="43A1309C" w14:textId="77777777" w:rsidR="00D63ADE" w:rsidRDefault="00D63ADE"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p>
    <w:p w14:paraId="44332299" w14:textId="734F489A" w:rsidR="00D63ADE" w:rsidRDefault="00D63ADE"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r>
        <w:rPr>
          <w:rFonts w:ascii="Times New Roman" w:hAnsi="Times New Roman" w:cs="Times New Roman"/>
          <w:b/>
          <w:color w:val="000000" w:themeColor="text1"/>
        </w:rPr>
        <w:t xml:space="preserve">The article is freely available here: </w:t>
      </w:r>
      <w:r w:rsidRPr="00D63ADE">
        <w:rPr>
          <w:rFonts w:ascii="Times New Roman" w:hAnsi="Times New Roman" w:cs="Times New Roman"/>
          <w:b/>
          <w:color w:val="000000" w:themeColor="text1"/>
        </w:rPr>
        <w:t>https://onlinelibrary.wiley.com/doi/epdf/10.1111/dech.12654</w:t>
      </w:r>
    </w:p>
    <w:p w14:paraId="6A7C66DA" w14:textId="77777777" w:rsidR="00D63ADE" w:rsidRDefault="00D63ADE"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p>
    <w:p w14:paraId="5074EE7B" w14:textId="080CB4B0" w:rsidR="00FD33A1" w:rsidRPr="00FD33A1" w:rsidRDefault="00FD33A1"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t>POLITICS AS NEGOTIATION: CHANGING CASTE NORM IN RURAL INDIA</w:t>
      </w:r>
    </w:p>
    <w:p w14:paraId="51A9F062" w14:textId="77777777" w:rsidR="00FD33A1" w:rsidRPr="00FD33A1" w:rsidRDefault="00FD33A1" w:rsidP="00FD33A1">
      <w:pPr>
        <w:spacing w:line="360" w:lineRule="auto"/>
        <w:jc w:val="both"/>
        <w:rPr>
          <w:rFonts w:ascii="Times New Roman" w:eastAsia="Verdana" w:hAnsi="Times New Roman" w:cs="Times New Roman"/>
        </w:rPr>
      </w:pPr>
    </w:p>
    <w:p w14:paraId="7F77B2D8" w14:textId="2D8D2767" w:rsidR="00FD33A1" w:rsidRPr="00FD33A1" w:rsidRDefault="00FD33A1" w:rsidP="00FD33A1">
      <w:pPr>
        <w:spacing w:line="360" w:lineRule="auto"/>
        <w:jc w:val="both"/>
        <w:rPr>
          <w:rFonts w:ascii="Times New Roman" w:eastAsia="Verdana" w:hAnsi="Times New Roman" w:cs="Times New Roman"/>
        </w:rPr>
      </w:pPr>
      <w:r w:rsidRPr="00FD33A1">
        <w:rPr>
          <w:rFonts w:ascii="Times New Roman" w:eastAsia="Verdana" w:hAnsi="Times New Roman" w:cs="Times New Roman"/>
        </w:rPr>
        <w:t>This article analyses processes of social change in rural India through an ethnographic analysis of everyday politics in two Indian states, Andhra Pradesh and Uttar Pradesh. Our main argument is that even if we rarely see overt resistance or ‘noisy’ collective action by the poor, a great deal of social change is occurring through a subtle ‘politics of negotiation’ where poor, low caste agricultural labourers are questioning social norms that underpin their oppression. These negotiations are structured around labour relations and caste norms, which are so inextricably intertwined that a modification of one set of ‘rules’ necessarily has an impact on the other.  The processes of democratisation, the erosion of patron-client relations, the spread of education, an enduring agrarian crisis aggravated by climate change and the availability of alternative employment opportunities for the poor has eroded the dominance of India’s rural elite. This continuing negotiating process between the (upper caste) landed elite and the (lower caste) labouring classes is non-confrontational and while it would be ambitious to suggest that it overturns the existing power relations, it, nonetheless challenges and modifies them in a way that results in progressive social change.</w:t>
      </w:r>
    </w:p>
    <w:p w14:paraId="1B2D5F94" w14:textId="36B87D58" w:rsidR="00FD33A1" w:rsidRPr="00FD33A1" w:rsidRDefault="00FD33A1" w:rsidP="00FD33A1">
      <w:pPr>
        <w:spacing w:line="360" w:lineRule="auto"/>
        <w:jc w:val="both"/>
        <w:rPr>
          <w:rFonts w:ascii="Times New Roman" w:eastAsia="Verdana" w:hAnsi="Times New Roman" w:cs="Times New Roman"/>
        </w:rPr>
      </w:pPr>
    </w:p>
    <w:p w14:paraId="35F01463" w14:textId="77777777" w:rsidR="00FD33A1" w:rsidRPr="00FD33A1" w:rsidRDefault="00FD33A1" w:rsidP="00FD33A1">
      <w:pPr>
        <w:rPr>
          <w:rFonts w:ascii="Times New Roman" w:hAnsi="Times New Roman" w:cs="Times New Roman"/>
        </w:rPr>
      </w:pPr>
    </w:p>
    <w:p w14:paraId="11673AD1" w14:textId="1F3E2364" w:rsidR="00FD33A1" w:rsidRPr="00FD33A1" w:rsidRDefault="00FD33A1" w:rsidP="00FD33A1">
      <w:pPr>
        <w:rPr>
          <w:rFonts w:ascii="Times New Roman" w:hAnsi="Times New Roman" w:cs="Times New Roman"/>
        </w:rPr>
      </w:pPr>
      <w:r w:rsidRPr="00FD33A1">
        <w:rPr>
          <w:rFonts w:ascii="Times New Roman" w:hAnsi="Times New Roman" w:cs="Times New Roman"/>
        </w:rPr>
        <w:t>ACKNOWLEDGEMENTS</w:t>
      </w:r>
    </w:p>
    <w:p w14:paraId="1E318345" w14:textId="77777777" w:rsidR="00FD33A1" w:rsidRPr="00FD33A1" w:rsidRDefault="00FD33A1" w:rsidP="00FD33A1">
      <w:pPr>
        <w:rPr>
          <w:rFonts w:ascii="Times New Roman" w:hAnsi="Times New Roman" w:cs="Times New Roman"/>
        </w:rPr>
      </w:pPr>
    </w:p>
    <w:p w14:paraId="2140F4BC" w14:textId="6B049466" w:rsidR="00FD33A1" w:rsidRPr="00FD33A1" w:rsidRDefault="00FD33A1" w:rsidP="00FD33A1">
      <w:pPr>
        <w:rPr>
          <w:rFonts w:ascii="Times New Roman" w:hAnsi="Times New Roman" w:cs="Times New Roman"/>
        </w:rPr>
      </w:pPr>
      <w:r w:rsidRPr="00FD33A1">
        <w:rPr>
          <w:rFonts w:ascii="Times New Roman" w:hAnsi="Times New Roman" w:cs="Times New Roman"/>
        </w:rPr>
        <w:t xml:space="preserve">We would like to thank our funders, the Leverhulme Trust </w:t>
      </w:r>
      <w:r>
        <w:rPr>
          <w:rFonts w:ascii="Times New Roman" w:hAnsi="Times New Roman" w:cs="Times New Roman"/>
        </w:rPr>
        <w:t xml:space="preserve">(Grant ECF 2015-244) </w:t>
      </w:r>
      <w:r w:rsidRPr="00FD33A1">
        <w:rPr>
          <w:rFonts w:ascii="Times New Roman" w:hAnsi="Times New Roman" w:cs="Times New Roman"/>
        </w:rPr>
        <w:t>and the Swedish Research Council</w:t>
      </w:r>
      <w:r>
        <w:rPr>
          <w:rFonts w:ascii="Times New Roman" w:hAnsi="Times New Roman" w:cs="Times New Roman"/>
        </w:rPr>
        <w:t xml:space="preserve"> (Grant number 2015-01245)</w:t>
      </w:r>
      <w:r w:rsidRPr="00FD33A1">
        <w:rPr>
          <w:rFonts w:ascii="Times New Roman" w:hAnsi="Times New Roman" w:cs="Times New Roman"/>
        </w:rPr>
        <w:t xml:space="preserve">, for generous support on this project. We are very thankful to colleagues who generously use their little free time to provide feedback on previous drafts, in particular, Sarah-Jane Cooper-Knock, Hugo Gorringe, John </w:t>
      </w:r>
      <w:proofErr w:type="spellStart"/>
      <w:r w:rsidRPr="00FD33A1">
        <w:rPr>
          <w:rFonts w:ascii="Times New Roman" w:hAnsi="Times New Roman" w:cs="Times New Roman"/>
        </w:rPr>
        <w:t>Harriss</w:t>
      </w:r>
      <w:proofErr w:type="spellEnd"/>
      <w:r w:rsidRPr="00FD33A1">
        <w:rPr>
          <w:rFonts w:ascii="Times New Roman" w:hAnsi="Times New Roman" w:cs="Times New Roman"/>
        </w:rPr>
        <w:t xml:space="preserve">, Barbara </w:t>
      </w:r>
      <w:proofErr w:type="spellStart"/>
      <w:r w:rsidRPr="00FD33A1">
        <w:rPr>
          <w:rFonts w:ascii="Times New Roman" w:hAnsi="Times New Roman" w:cs="Times New Roman"/>
        </w:rPr>
        <w:t>Harriss</w:t>
      </w:r>
      <w:proofErr w:type="spellEnd"/>
      <w:r w:rsidRPr="00FD33A1">
        <w:rPr>
          <w:rFonts w:ascii="Times New Roman" w:hAnsi="Times New Roman" w:cs="Times New Roman"/>
        </w:rPr>
        <w:t xml:space="preserve">-White, </w:t>
      </w:r>
      <w:proofErr w:type="spellStart"/>
      <w:r w:rsidRPr="00FD33A1">
        <w:rPr>
          <w:rFonts w:ascii="Times New Roman" w:hAnsi="Times New Roman" w:cs="Times New Roman"/>
        </w:rPr>
        <w:t>Indrajit</w:t>
      </w:r>
      <w:proofErr w:type="spellEnd"/>
      <w:r w:rsidRPr="00FD33A1">
        <w:rPr>
          <w:rFonts w:ascii="Times New Roman" w:hAnsi="Times New Roman" w:cs="Times New Roman"/>
        </w:rPr>
        <w:t xml:space="preserve"> Roy, as well as participants at seminars and conferences at the Development Studies Association (Oxford); British Association for South Asian Studies (Nottingham); Australia India Institute (University of Melbourne and University of New South Wales); National University of Singapore; University of </w:t>
      </w:r>
      <w:r w:rsidRPr="00FD33A1">
        <w:rPr>
          <w:rFonts w:ascii="Times New Roman" w:hAnsi="Times New Roman" w:cs="Times New Roman"/>
        </w:rPr>
        <w:lastRenderedPageBreak/>
        <w:t>Nottingham. We are thankful to</w:t>
      </w:r>
      <w:r>
        <w:rPr>
          <w:rFonts w:ascii="Times New Roman" w:hAnsi="Times New Roman" w:cs="Times New Roman"/>
        </w:rPr>
        <w:t xml:space="preserve"> the</w:t>
      </w:r>
      <w:r w:rsidRPr="00FD33A1">
        <w:rPr>
          <w:rFonts w:ascii="Times New Roman" w:hAnsi="Times New Roman" w:cs="Times New Roman"/>
        </w:rPr>
        <w:t xml:space="preserve"> journal’s four reviewers, who provided a lot – a lot – of feedback and criticism and to the Editors. All remaining errors are our own.</w:t>
      </w:r>
    </w:p>
    <w:p w14:paraId="5EAD64DF" w14:textId="77777777" w:rsidR="00FD33A1" w:rsidRPr="00FD33A1" w:rsidRDefault="00FD33A1" w:rsidP="00FD33A1">
      <w:pPr>
        <w:spacing w:line="360" w:lineRule="auto"/>
        <w:jc w:val="both"/>
        <w:rPr>
          <w:rFonts w:ascii="Times New Roman" w:hAnsi="Times New Roman" w:cs="Times New Roman"/>
        </w:rPr>
      </w:pPr>
    </w:p>
    <w:p w14:paraId="2E818C05" w14:textId="77777777" w:rsidR="00FD33A1" w:rsidRPr="00FD33A1" w:rsidRDefault="00FD33A1">
      <w:pPr>
        <w:rPr>
          <w:rFonts w:ascii="Times New Roman" w:hAnsi="Times New Roman" w:cs="Times New Roman"/>
          <w:b/>
          <w:color w:val="000000" w:themeColor="text1"/>
        </w:rPr>
      </w:pPr>
      <w:r w:rsidRPr="00FD33A1">
        <w:rPr>
          <w:rFonts w:ascii="Times New Roman" w:hAnsi="Times New Roman" w:cs="Times New Roman"/>
          <w:b/>
          <w:color w:val="000000" w:themeColor="text1"/>
        </w:rPr>
        <w:br w:type="page"/>
      </w:r>
    </w:p>
    <w:p w14:paraId="75325AF0" w14:textId="30EDD142" w:rsidR="00504C4D" w:rsidRPr="00FD33A1" w:rsidRDefault="009D79B3"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lastRenderedPageBreak/>
        <w:t>INTRODUCTION</w:t>
      </w:r>
    </w:p>
    <w:p w14:paraId="27D79862" w14:textId="77777777" w:rsidR="00504C4D" w:rsidRPr="00FD33A1" w:rsidRDefault="00504C4D" w:rsidP="00CF2606">
      <w:pPr>
        <w:tabs>
          <w:tab w:val="left" w:pos="5103"/>
        </w:tabs>
        <w:spacing w:line="360" w:lineRule="auto"/>
        <w:rPr>
          <w:rFonts w:ascii="Times New Roman" w:hAnsi="Times New Roman" w:cs="Times New Roman"/>
          <w:b/>
          <w:color w:val="000000" w:themeColor="text1"/>
        </w:rPr>
      </w:pPr>
    </w:p>
    <w:p w14:paraId="14FDB05C" w14:textId="4E3F1596"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In spite of persistent extreme poverty and widening income disparities, the economic and social situation for many of the ‘poorest of the poor’ in India has changed for the better in the last decades. This is not only reflected in the declining rates of income poverty – from 53.9 per cent in 1983 to 21.2 per cent in 2012,</w:t>
      </w:r>
      <w:r w:rsidRPr="00FD33A1">
        <w:rPr>
          <w:rStyle w:val="Rimandonotaapidipagina"/>
          <w:rFonts w:ascii="Times New Roman" w:hAnsi="Times New Roman" w:cs="Times New Roman"/>
          <w:color w:val="000000" w:themeColor="text1"/>
        </w:rPr>
        <w:footnoteReference w:id="1"/>
      </w:r>
      <w:r w:rsidRPr="00FD33A1">
        <w:rPr>
          <w:rFonts w:ascii="Times New Roman" w:hAnsi="Times New Roman" w:cs="Times New Roman"/>
          <w:color w:val="000000" w:themeColor="text1"/>
        </w:rPr>
        <w:t xml:space="preserve"> according to World Bank estimates – but also, more broadly, in the improvement of a number of human development indicators, although India’s performance is still very disappointing in a comparative perspective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184614762X","author":[{"dropping-particle":"","family":"Dreze","given":"Jean","non-dropping-particle":"","parse-names":false,"suffix":""},{"dropping-particle":"","family":"Sen","given":"Amartya","non-dropping-particle":"","parse-names":false,"suffix":""}],"id":"ITEM-1","issued":{"date-parts":[["2013"]]},"publisher":"Allen Lane","publisher-place":"New Delhi","title":"An Uncertain Glory: India and its Contradictions","type":"book"},"uris":["http://www.mendeley.com/documents/?uuid=9606acae-3ba2-416f-a9a3-4c9b5a95952a"]},{"id":"ITEM-2","itemData":{"author":[{"dropping-particle":"","family":"Maiorano","given":"D.","non-dropping-particle":"","parse-names":false,"suffix":""},{"dropping-particle":"","family":"Manor","given":"James","non-dropping-particle":"","parse-names":false,"suffix":""}],"container-title":"Commonwealth &amp; Comparative Politics","id":"ITEM-2","issue":"3","issued":{"date-parts":[["2017"]]},"title":"Poverty Reduction, Inequalities and Human Development in the BRICS: Policies and Outcomes","type":"article-journal","volume":"56"},"uris":["http://www.mendeley.com/documents/?uuid=c4be290f-a556-4dc7-a083-7cb1a11180b8"]}],"mendeley":{"formattedCitation":"(Dreze &amp; Sen, 2013; Maiorano &amp; Manor, 2017)","plainTextFormattedCitation":"(Dreze &amp; Sen, 2013; Maiorano &amp; Manor, 2017)","previouslyFormattedCitation":"(Dreze &amp; Sen, 2013; Maiorano &amp; Manor, 2017)"},"properties":{"noteIndex":0},"schema":"https://github.com/citation-style-language/schema/raw/master/csl-citation.json"}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(Dreze &amp; Sen, 2013; Maiorano &amp; Manor, 2017)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Improvements in primary education, the increased availability of non-agricultural employment, and social assistance policies are some of the more significant factors behind these changes. This has led to rising social and political expectations among many of the poorest. The analysis of how these demands and expectations play out in the context of rural India is the focus of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w:t>
      </w:r>
    </w:p>
    <w:p w14:paraId="63637B35"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A7A8C86" w14:textId="77777777"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color w:val="000000" w:themeColor="text1"/>
        </w:rPr>
        <w:t>Our main argument is that even if we rarely see overt resistance or ‘noisy’ collective action by the poor, a great deal of social change is occurring through a subtle ‘politics of negotiation’ where poor, low caste agricultural labourers are questioning traditional norms. This continuing (implicit and explicit) negotiating process between the landed elite and the poor, lower caste, labouring classes has the objective of maintaining harmonious and peaceful relations and hence the continuation of the negotiation itself. Furthermore, this non-confrontational relationship, in conjunction with broader processes of change, leads to certain modifications in existing social norms that underpin entrenched power relations. In turn, these changing social norms result in a significant (though gradual) amelioration of the living conditions of the labouring classes. Our analysis focuses on poor Dalits</w:t>
      </w:r>
      <w:r w:rsidRPr="00FD33A1">
        <w:rPr>
          <w:rStyle w:val="Rimandonotaapidipagina"/>
          <w:rFonts w:ascii="Times New Roman" w:hAnsi="Times New Roman" w:cs="Times New Roman"/>
          <w:color w:val="000000" w:themeColor="text1"/>
        </w:rPr>
        <w:footnoteReference w:id="2"/>
      </w:r>
      <w:r w:rsidRPr="00FD33A1">
        <w:rPr>
          <w:rFonts w:ascii="Times New Roman" w:hAnsi="Times New Roman" w:cs="Times New Roman"/>
          <w:color w:val="000000" w:themeColor="text1"/>
        </w:rPr>
        <w:t>, whom the caste system has relegated to the bottom of India’s social order. Given the intertwining between caste and class relations, a modification of one set of ‘rules’ necessarily has an impact on the other: by negotiating, contesting and modifying caste (class) norms, India’s poor can reduce – though not radically transform – the oppressive nature of class (caste) relations.</w:t>
      </w:r>
    </w:p>
    <w:p w14:paraId="4A6DDC9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3B3E2D1" w14:textId="675F578C"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lastRenderedPageBreak/>
        <w:t xml:space="preserve">The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is structured as follows. In the following section, we present our theoretical framework, working definitions and methodology. We then situate the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within the broader literature on the politics of the poor. We then proceed to empirically illustrate our ideas. In the final section we provide our concluding remarks on the processes of social change in rural India.</w:t>
      </w:r>
    </w:p>
    <w:p w14:paraId="57116FF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3009937" w14:textId="58F2CC23" w:rsidR="00504C4D" w:rsidRPr="00FD33A1" w:rsidRDefault="009D79B3"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b/>
          <w:bCs/>
          <w:color w:val="000000" w:themeColor="text1"/>
        </w:rPr>
        <w:t xml:space="preserve">DEFINITIONS AND THEORETICAL FRAMEWORK </w:t>
      </w:r>
    </w:p>
    <w:p w14:paraId="5902A7F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5F1EE5E" w14:textId="27E4E111"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In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we use a number of terms and concepts over which there exists substantial debate and discussion. It is thus useful to clarify at the outset how we situate the analysis of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within these debates.  </w:t>
      </w:r>
    </w:p>
    <w:p w14:paraId="3D5264DD"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CF44E86" w14:textId="7B808B78"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First, a key concept of the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is ‘social norms’, which we understand as the ‘grammar of society’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{"citationItems":[{"id":"ITEM-1","itemData":{"author":[{"dropping-particle":"","family":"Bicchieri","given":"Cristina","non-dropping-particle":"","parse-names":false,"suffix":""}],"id":"ITEM-1","issued":{"date-parts":[["2006"]]},"publisher":"Cambridge University Press","publisher-place":"Cambridge","title":"The Grammar of Society: The Nature and Dynamics of Social Norms","type":"book"},"uris":["http://www.mendeley.com/documents/?uuid=51f1a0e6-cc81-362f-b66f-0a261030d567"]}],"mendeley":{"formattedCitation":"(Bicchieri, 2006)","plainTextFormattedCitation":"(Bicchieri, 2006)","previouslyFormattedCitation":"(Bicchieri, 2006)"},"properties":{"noteIndex":0},"schema":"https://github.com/citation-style-language/schema/raw/master/csl-citation.json"}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(Bicchieri, 2006)</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that defines what is considered (non)acceptable behaviour and accompanying expectations in a given social group. Furthermore, people’s preferences for obeying a norm can be conditional on other people’s conformity. In the case of India, the role of social norms is central in understanding how communities transmit social practices structured around the institution of caste which, like</w:t>
      </w:r>
      <w:r w:rsidRPr="00FD33A1" w:rsidDel="00AD24E8">
        <w:rPr>
          <w:rFonts w:ascii="Times New Roman" w:hAnsi="Times New Roman" w:cs="Times New Roman"/>
          <w:color w:val="000000" w:themeColor="text1"/>
        </w:rPr>
        <w:t xml:space="preserve"> any other social institution, has </w:t>
      </w:r>
      <w:r w:rsidRPr="00FD33A1" w:rsidDel="00AD24E8">
        <w:rPr>
          <w:rFonts w:ascii="Times New Roman" w:hAnsi="Times New Roman" w:cs="Times New Roman"/>
          <w:i/>
          <w:color w:val="000000" w:themeColor="text1"/>
        </w:rPr>
        <w:t>always</w:t>
      </w:r>
      <w:r w:rsidRPr="00FD33A1" w:rsidDel="00AD24E8">
        <w:rPr>
          <w:rFonts w:ascii="Times New Roman" w:hAnsi="Times New Roman" w:cs="Times New Roman"/>
          <w:color w:val="000000" w:themeColor="text1"/>
        </w:rPr>
        <w:t xml:space="preserve"> been an adaptive, fluid and flexible system </w:t>
      </w:r>
      <w:r w:rsidRPr="00FD33A1" w:rsidDel="00AD24E8">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{"citationItems":[{"id":"ITEM-1","itemData":{"ISBN":"0521798426","author":[{"dropping-particle":"","family":"Bayly","given":"Susan","non-dropping-particle":"","parse-names":false,"suffix":""}],"id":"ITEM-1","issued":{"date-parts":[["2001"]]},"publisher":"Cambridge University Press","title":"Caste, society and politics in India from the eighteenth century to the modern age","type":"book","volume":"3"},"uris":["http://www.mendeley.com/documents/?uuid=de98c1c1-51b5-4a2f-bbcd-9600681d33a5"]}],"mendeley":{"formattedCitation":"(Bayly, 2001)","plainTextFormattedCitation":"(Bayly, 2001)","previouslyFormattedCitation":"(Bayly, 2001)"},"properties":{"noteIndex":0},"schema":"https://github.com/citation-style-language/schema/raw/master/csl-citation.json"}</w:instrText>
      </w:r>
      <w:r w:rsidRPr="00FD33A1" w:rsidDel="00AD24E8">
        <w:rPr>
          <w:rFonts w:ascii="Times New Roman" w:hAnsi="Times New Roman" w:cs="Times New Roman"/>
          <w:color w:val="000000" w:themeColor="text1"/>
        </w:rPr>
        <w:fldChar w:fldCharType="separate"/>
      </w:r>
      <w:r w:rsidRPr="00FD33A1" w:rsidDel="00AD24E8">
        <w:rPr>
          <w:rFonts w:ascii="Times New Roman" w:hAnsi="Times New Roman" w:cs="Times New Roman"/>
          <w:noProof/>
          <w:color w:val="000000" w:themeColor="text1"/>
        </w:rPr>
        <w:t>(Bayly, 2001)</w:t>
      </w:r>
      <w:r w:rsidRPr="00FD33A1" w:rsidDel="00AD24E8">
        <w:rPr>
          <w:rFonts w:ascii="Times New Roman" w:hAnsi="Times New Roman" w:cs="Times New Roman"/>
          <w:color w:val="000000" w:themeColor="text1"/>
        </w:rPr>
        <w:fldChar w:fldCharType="end"/>
      </w:r>
      <w:r w:rsidRPr="00FD33A1" w:rsidDel="00AD24E8">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These social practices, over time, attain the status of a norm. </w:t>
      </w:r>
      <w:r w:rsidRPr="00FD33A1" w:rsidDel="00AD24E8">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t xml:space="preserve">The negotiating processes that we analyse in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result in the modification of the boundaries of what is considered acceptable behaviour and conduct for a Dalit living in rural India and what they can expect from others living in their locality, including their employers. Contestation and modification of historically institutionalised oppressive caste-based norms in general and of untouchability practices in particular represents in itself a significant improvement in the living conditions of the Dalits. </w:t>
      </w:r>
    </w:p>
    <w:p w14:paraId="63753528"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2852E81" w14:textId="54C92E1F"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color w:val="000000" w:themeColor="text1"/>
        </w:rPr>
        <w:t xml:space="preserve">A second key term is ‘caste’, which we see as inextricably intertwined with ‘class’. Following </w:t>
      </w:r>
      <w:proofErr w:type="spellStart"/>
      <w:r w:rsidRPr="00FD33A1">
        <w:rPr>
          <w:rFonts w:ascii="Times New Roman" w:hAnsi="Times New Roman" w:cs="Times New Roman"/>
          <w:color w:val="000000" w:themeColor="text1"/>
        </w:rPr>
        <w:t>Harriss</w:t>
      </w:r>
      <w:proofErr w:type="spellEnd"/>
      <w:r w:rsidRPr="00FD33A1">
        <w:rPr>
          <w:rFonts w:ascii="Times New Roman" w:hAnsi="Times New Roman" w:cs="Times New Roman"/>
          <w:color w:val="000000" w:themeColor="text1"/>
        </w:rPr>
        <w:t xml:space="preserve">, we understand caste as a social institution and an ascriptive form of stratification that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entails an ideology that explains and legitimates the material differences of class and power relations</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Harriss","given":"John","non-dropping-particle":"","parse-names":false,"suffix":""}],"container-title":"Seminar","id":"ITEM-1","issue":"633","issued":{"date-parts":[["2012"]]},"title":"Reflections on caste and class, hierarchy and dominance","type":"article-journal"},"uris":["http://www.mendeley.com/documents/?uuid=1034bb12-ea65-43ac-918f-29cc5fa80a6b"]}],"mendeley":{"formattedCitation":"(Harriss, 2012)","plainTextFormattedCitation":"(Harriss, 2012)","previouslyFormattedCitation":"(Harriss, 2012)"},"properties":{"noteIndex":0},"schema":"https://github.com/citation-style-language/schema/raw/master/csl-citation.json"}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(Harriss, 2012)</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In fact, two systems of stratification co-exist and influence each other in numerous ways. First, as </w:t>
      </w:r>
      <w:proofErr w:type="spellStart"/>
      <w:r w:rsidRPr="00FD33A1">
        <w:rPr>
          <w:rFonts w:ascii="Times New Roman" w:hAnsi="Times New Roman" w:cs="Times New Roman"/>
          <w:color w:val="000000" w:themeColor="text1"/>
        </w:rPr>
        <w:t>Harriss</w:t>
      </w:r>
      <w:proofErr w:type="spellEnd"/>
      <w:r w:rsidRPr="00FD33A1">
        <w:rPr>
          <w:rFonts w:ascii="Times New Roman" w:hAnsi="Times New Roman" w:cs="Times New Roman"/>
          <w:color w:val="000000" w:themeColor="text1"/>
        </w:rPr>
        <w:t xml:space="preserve"> notes, as long as caste norms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have an effect on the way people think, they will influence the ways in which class relations are experienced</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(ibid.). Second, while </w:t>
      </w:r>
      <w:r w:rsidRPr="00FD33A1">
        <w:rPr>
          <w:rFonts w:ascii="Times New Roman" w:hAnsi="Times New Roman" w:cs="Times New Roman"/>
        </w:rPr>
        <w:t xml:space="preserve">class affects well-being directly through the market, </w:t>
      </w:r>
      <w:r w:rsidR="009D79B3" w:rsidRPr="00FD33A1">
        <w:rPr>
          <w:rFonts w:ascii="Times New Roman" w:hAnsi="Times New Roman" w:cs="Times New Roman"/>
        </w:rPr>
        <w:t>‘</w:t>
      </w:r>
      <w:r w:rsidRPr="00FD33A1">
        <w:rPr>
          <w:rFonts w:ascii="Times New Roman" w:hAnsi="Times New Roman" w:cs="Times New Roman"/>
        </w:rPr>
        <w:t xml:space="preserve">[caste] status affects material well-being indirectly, through the ways that categories of </w:t>
      </w:r>
      <w:r w:rsidRPr="00FD33A1">
        <w:rPr>
          <w:rFonts w:ascii="Times New Roman" w:hAnsi="Times New Roman" w:cs="Times New Roman"/>
        </w:rPr>
        <w:lastRenderedPageBreak/>
        <w:t xml:space="preserve">social </w:t>
      </w:r>
      <w:proofErr w:type="spellStart"/>
      <w:r w:rsidRPr="00FD33A1">
        <w:rPr>
          <w:rFonts w:ascii="Times New Roman" w:hAnsi="Times New Roman" w:cs="Times New Roman"/>
        </w:rPr>
        <w:t>honor</w:t>
      </w:r>
      <w:proofErr w:type="spellEnd"/>
      <w:r w:rsidRPr="00FD33A1">
        <w:rPr>
          <w:rFonts w:ascii="Times New Roman" w:hAnsi="Times New Roman" w:cs="Times New Roman"/>
        </w:rPr>
        <w:t xml:space="preserve"> underwrite various coercive mechanisms</w:t>
      </w:r>
      <w:r w:rsidR="009D79B3" w:rsidRPr="00FD33A1">
        <w:rPr>
          <w:rFonts w:ascii="Times New Roman" w:hAnsi="Times New Roman" w:cs="Times New Roman"/>
        </w:rPr>
        <w:t>’</w:t>
      </w:r>
      <w:r w:rsidRPr="00FD33A1">
        <w:rPr>
          <w:rFonts w:ascii="Times New Roman" w:hAnsi="Times New Roman" w:cs="Times New Roman"/>
        </w:rPr>
        <w:t xml:space="preserve"> </w:t>
      </w:r>
      <w:r w:rsidRPr="00FD33A1">
        <w:rPr>
          <w:rFonts w:ascii="Times New Roman" w:hAnsi="Times New Roman" w:cs="Times New Roman"/>
        </w:rPr>
        <w:fldChar w:fldCharType="begin" w:fldLock="1"/>
      </w:r>
      <w:r w:rsidRPr="00FD33A1">
        <w:rPr>
          <w:rFonts w:ascii="Times New Roman" w:hAnsi="Times New Roman" w:cs="Times New Roman"/>
        </w:rPr>
        <w:instrText>ADDIN CSL_CITATION {"citationItems":[{"id":"ITEM-1","itemData":{"ISBN":"1134952740","author":[{"dropping-particle":"","family":"Saunders","given":"Peter","non-dropping-particle":"","parse-names":false,"suffix":""}],"id":"ITEM-1","issued":{"date-parts":[["2006"]]},"publisher":"Routledge","title":"Social class and stratification","type":"book"},"locator":"5","uris":["http://www.mendeley.com/documents/?uuid=90e14725-fb00-40e8-a475-f9028ed5a880"]}],"mendeley":{"formattedCitation":"(Saunders, 2006, p. 5)","plainTextFormattedCitation":"(Saunders, 2006, p. 5)","previouslyFormattedCitation":"(Saunders, 2006, p. 5)"},"properties":{"noteIndex":0},"schema":"https://github.com/citation-style-language/schema/raw/master/csl-citation.json"}</w:instrText>
      </w:r>
      <w:r w:rsidRPr="00FD33A1">
        <w:rPr>
          <w:rFonts w:ascii="Times New Roman" w:hAnsi="Times New Roman" w:cs="Times New Roman"/>
        </w:rPr>
        <w:fldChar w:fldCharType="separate"/>
      </w:r>
      <w:r w:rsidRPr="00FD33A1">
        <w:rPr>
          <w:rFonts w:ascii="Times New Roman" w:hAnsi="Times New Roman" w:cs="Times New Roman"/>
          <w:noProof/>
        </w:rPr>
        <w:t>(Saunders, 2006, p. 5)</w:t>
      </w:r>
      <w:r w:rsidRPr="00FD33A1">
        <w:rPr>
          <w:rFonts w:ascii="Times New Roman" w:hAnsi="Times New Roman" w:cs="Times New Roman"/>
        </w:rPr>
        <w:fldChar w:fldCharType="end"/>
      </w:r>
      <w:r w:rsidRPr="00FD33A1">
        <w:rPr>
          <w:rFonts w:ascii="Times New Roman" w:hAnsi="Times New Roman" w:cs="Times New Roman"/>
        </w:rPr>
        <w:t xml:space="preserve">. Thus caste-capital can enable access and mobilization of resources (social and economic capital) which facilitate class-based mobility. In other words, class and caste privileges (and disadvantages) tend to reinforce each other. Third, labour markets are highly fragmented along caste lines </w:t>
      </w:r>
      <w:r w:rsidRPr="00FD33A1">
        <w:rPr>
          <w:rFonts w:ascii="Times New Roman" w:hAnsi="Times New Roman" w:cs="Times New Roman"/>
        </w:rPr>
        <w:fldChar w:fldCharType="begin" w:fldLock="1"/>
      </w:r>
      <w:r w:rsidR="00E54184" w:rsidRPr="00FD33A1">
        <w:rPr>
          <w:rFonts w:ascii="Times New Roman" w:hAnsi="Times New Roman" w:cs="Times New Roman"/>
        </w:rPr>
        <w:instrText>ADDIN CSL_CITATION {"citationItems":[{"id":"ITEM-1","itemData":{"ISSN":"0069-9667","author":[{"dropping-particle":"","family":"Parry","given":"Jonathan P","non-dropping-particle":"","parse-names":false,"suffix":""}],"container-title":"Contributions to Indian sociology","id":"ITEM-1","issue":"1-2","issued":{"date-parts":[["1999"]]},"page":"107-140","publisher":"Sage Publications Sage CA: Thousand Oaks, CA","title":"Lords of labour: Working and shirking in Bhilai","type":"article-journal","volume":"33"},"uris":["http://www.mendeley.com/documents/?uuid=6259d935-9157-4d8c-b990-add7c73c033c"]}],"mendeley":{"formattedCitation":"(J. P. Parry, 1999)","plainTextFormattedCitation":"(J. P. Parry, 1999)","previouslyFormattedCitation":"(J. P. Parry, 1999)"},"properties":{"noteIndex":0},"schema":"https://github.com/citation-style-language/schema/raw/master/csl-citation.json"}</w:instrText>
      </w:r>
      <w:r w:rsidRPr="00FD33A1">
        <w:rPr>
          <w:rFonts w:ascii="Times New Roman" w:hAnsi="Times New Roman" w:cs="Times New Roman"/>
        </w:rPr>
        <w:fldChar w:fldCharType="separate"/>
      </w:r>
      <w:r w:rsidR="00E54184" w:rsidRPr="00FD33A1">
        <w:rPr>
          <w:rFonts w:ascii="Times New Roman" w:hAnsi="Times New Roman" w:cs="Times New Roman"/>
          <w:noProof/>
        </w:rPr>
        <w:t>(J. P. Parry, 1999)</w:t>
      </w:r>
      <w:r w:rsidRPr="00FD33A1">
        <w:rPr>
          <w:rFonts w:ascii="Times New Roman" w:hAnsi="Times New Roman" w:cs="Times New Roman"/>
        </w:rPr>
        <w:fldChar w:fldCharType="end"/>
      </w:r>
      <w:r w:rsidRPr="00FD33A1">
        <w:rPr>
          <w:rFonts w:ascii="Times New Roman" w:hAnsi="Times New Roman" w:cs="Times New Roman"/>
        </w:rPr>
        <w:t xml:space="preserve"> and caste profoundly shapes the relation between capital and labour </w:t>
      </w:r>
      <w:r w:rsidRPr="00FD33A1">
        <w:rPr>
          <w:rFonts w:ascii="Times New Roman" w:hAnsi="Times New Roman" w:cs="Times New Roman"/>
        </w:rPr>
        <w:fldChar w:fldCharType="begin" w:fldLock="1"/>
      </w:r>
      <w:r w:rsidRPr="00FD33A1">
        <w:rPr>
          <w:rFonts w:ascii="Times New Roman" w:hAnsi="Times New Roman" w:cs="Times New Roman"/>
        </w:rPr>
        <w:instrText>ADDIN CSL_CITATION {"citationItems":[{"id":"ITEM-1","itemData":{"author":[{"dropping-particle":"","family":"Harriss-White","given":"Barbara","non-dropping-particle":"","parse-names":false,"suffix":""},{"dropping-particle":"","family":"Gooptu","given":"Nandini","non-dropping-particle":"","parse-names":false,"suffix":""}],"container-title":"Working Classes, Global Realities: Socialist Register 2001","editor":[{"dropping-particle":"","family":"Panitch","given":"L.","non-dropping-particle":"","parse-names":false,"suffix":""},{"dropping-particle":"","family":"Leys","given":"C.","non-dropping-particle":"","parse-names":false,"suffix":""}],"id":"ITEM-1","issued":{"date-parts":[["2000"]]},"page":"89-118","publisher":"Merlin","publisher-place":"London","title":"Mapping India's World of Unorganised Labour'","type":"chapter"},"uris":["http://www.mendeley.com/documents/?uuid=cccb9066-d52d-4666-a491-79b3d7d92195"]}],"mendeley":{"formattedCitation":"(Harriss-White &amp; Gooptu, 2000)","plainTextFormattedCitation":"(Harriss-White &amp; Gooptu, 2000)","previouslyFormattedCitation":"(Harriss-White &amp; Gooptu, 2000)"},"properties":{"noteIndex":0},"schema":"https://github.com/citation-style-language/schema/raw/master/csl-citation.json"}</w:instrText>
      </w:r>
      <w:r w:rsidRPr="00FD33A1">
        <w:rPr>
          <w:rFonts w:ascii="Times New Roman" w:hAnsi="Times New Roman" w:cs="Times New Roman"/>
        </w:rPr>
        <w:fldChar w:fldCharType="separate"/>
      </w:r>
      <w:r w:rsidRPr="00FD33A1">
        <w:rPr>
          <w:rFonts w:ascii="Times New Roman" w:hAnsi="Times New Roman" w:cs="Times New Roman"/>
          <w:noProof/>
        </w:rPr>
        <w:t>(Harriss-White &amp; Gooptu, 2000)</w:t>
      </w:r>
      <w:r w:rsidRPr="00FD33A1">
        <w:rPr>
          <w:rFonts w:ascii="Times New Roman" w:hAnsi="Times New Roman" w:cs="Times New Roman"/>
        </w:rPr>
        <w:fldChar w:fldCharType="end"/>
      </w:r>
      <w:r w:rsidRPr="00FD33A1">
        <w:rPr>
          <w:rFonts w:ascii="Times New Roman" w:hAnsi="Times New Roman" w:cs="Times New Roman"/>
        </w:rPr>
        <w:t xml:space="preserve">. Fourth, </w:t>
      </w:r>
      <w:r w:rsidRPr="00FD33A1">
        <w:rPr>
          <w:rFonts w:ascii="Times New Roman" w:hAnsi="Times New Roman" w:cs="Times New Roman"/>
          <w:color w:val="000000" w:themeColor="text1"/>
        </w:rPr>
        <w:t xml:space="preserve">intergenerational mobility through economic capital is secured through a specific caste status, where upper castes are able to use caste </w:t>
      </w:r>
      <w:r w:rsidRPr="00FD33A1">
        <w:rPr>
          <w:rFonts w:ascii="Times New Roman" w:hAnsi="Times New Roman" w:cs="Times New Roman"/>
          <w:i/>
          <w:iCs/>
          <w:color w:val="000000" w:themeColor="text1"/>
        </w:rPr>
        <w:t>and</w:t>
      </w:r>
      <w:r w:rsidRPr="00FD33A1">
        <w:rPr>
          <w:rFonts w:ascii="Times New Roman" w:hAnsi="Times New Roman" w:cs="Times New Roman"/>
          <w:color w:val="000000" w:themeColor="text1"/>
        </w:rPr>
        <w:t xml:space="preserve"> class capital to protect their children from downward mobility and ensure the reproduction of privilege and status. </w:t>
      </w:r>
    </w:p>
    <w:p w14:paraId="6A55BEB6" w14:textId="77777777" w:rsidR="00504C4D" w:rsidRPr="00FD33A1" w:rsidRDefault="00504C4D" w:rsidP="00CF2606">
      <w:pPr>
        <w:tabs>
          <w:tab w:val="left" w:pos="5103"/>
        </w:tabs>
        <w:spacing w:line="360" w:lineRule="auto"/>
        <w:rPr>
          <w:rFonts w:ascii="Times New Roman" w:hAnsi="Times New Roman" w:cs="Times New Roman"/>
        </w:rPr>
      </w:pPr>
    </w:p>
    <w:p w14:paraId="768240A1" w14:textId="2464C8D1"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color w:val="000000" w:themeColor="text1"/>
        </w:rPr>
        <w:t xml:space="preserve">The intertwining of class and caste is so central that scholars like </w:t>
      </w:r>
      <w:proofErr w:type="spellStart"/>
      <w:r w:rsidRPr="00FD33A1">
        <w:rPr>
          <w:rFonts w:ascii="Times New Roman" w:hAnsi="Times New Roman" w:cs="Times New Roman"/>
          <w:color w:val="000000" w:themeColor="text1"/>
        </w:rPr>
        <w:t>Harriss</w:t>
      </w:r>
      <w:proofErr w:type="spellEnd"/>
      <w:r w:rsidRPr="00FD33A1">
        <w:rPr>
          <w:rFonts w:ascii="Times New Roman" w:hAnsi="Times New Roman" w:cs="Times New Roman"/>
          <w:color w:val="000000" w:themeColor="text1"/>
        </w:rPr>
        <w:t xml:space="preserve">-White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{"citationItems":[{"id":"ITEM-1","itemData":{"ISBN":"0521007631","author":[{"dropping-particle":"","family":"Harriss-White","given":"Barbara","non-dropping-particle":"","parse-names":false,"suffix":""}],"id":"ITEM-1","issued":{"date-parts":[["2003"]]},"publisher":"Cambridge University Press","title":"India working: Essays on society and economy","type":"book","volume":"8"},"suppress-author":1,"uris":["http://www.mendeley.com/documents/?uuid=e720dded-82ed-4e1a-ae6a-5f9e89e3ca1b"]}],"mendeley":{"formattedCitation":"(2003)","plainTextFormattedCitation":"(2003)","previouslyFormattedCitation":"(2003)"},"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(2003)</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and Guru &amp; Chakravarthy </w:t>
      </w:r>
      <w:r w:rsidRPr="00FD33A1">
        <w:rPr>
          <w:rFonts w:ascii="Times New Roman" w:hAnsi="Times New Roman" w:cs="Times New Roman"/>
          <w:color w:val="000000" w:themeColor="text1"/>
        </w:rPr>
        <w:fldChar w:fldCharType="begin" w:fldLock="1"/>
      </w:r>
      <w:r w:rsidR="00E068E5" w:rsidRPr="00FD33A1">
        <w:rPr>
          <w:rFonts w:ascii="Times New Roman" w:hAnsi="Times New Roman" w:cs="Times New Roman"/>
          <w:color w:val="000000" w:themeColor="text1"/>
        </w:rPr>
        <w:instrText>ADDIN CSL_CITATION {"citationItems":[{"id":"ITEM-1","itemData":{"author":[{"dropping-particle":"","family":"Guru","given":"Gopal","non-dropping-particle":"","parse-names":false,"suffix":""},{"dropping-particle":"","family":"Chakravarty","given":"Anuradha","non-dropping-particle":"","parse-names":false,"suffix":""}],"container-title":"Social movements in India: Poverty, power, and politics","editor":[{"dropping-particle":"","family":"Ray","given":"R.","non-dropping-particle":"","parse-names":false,"suffix":""},{"dropping-particle":"","family":"Katzenstein","given":"F.","non-dropping-particle":"","parse-names":false,"suffix":""}],"id":"ITEM-1","issued":{"date-parts":[["2005"]]},"page":"134-166","publisher":"Wiley/Blackwell","publisher-place":"Oxford","title":"Who are the country’s poor? Social movement politics and Dalit poverty","type":"chapter"},"suppress-author":1,"uris":["http://www.mendeley.com/documents/?uuid=42e124b2-4aa3-4f65-bd55-21688abda6f8"]}],"mendeley":{"formattedCitation":"(2005)","plainTextFormattedCitation":"(2005)","previouslyFormattedCitation":"(2005)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(2005)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argue that, unlike much Marxist analysis, caste and class must be analysed conjointly to understand the nature of social relations in India. Roy </w:t>
      </w:r>
      <w:r w:rsidR="00E068E5" w:rsidRPr="00FD33A1">
        <w:rPr>
          <w:rFonts w:ascii="Times New Roman" w:hAnsi="Times New Roman" w:cs="Times New Roman"/>
          <w:color w:val="000000" w:themeColor="text1"/>
        </w:rPr>
        <w:fldChar w:fldCharType="begin" w:fldLock="1"/>
      </w:r>
      <w:r w:rsidR="00E068E5" w:rsidRPr="00FD33A1">
        <w:rPr>
          <w:rFonts w:ascii="Times New Roman" w:hAnsi="Times New Roman" w:cs="Times New Roman"/>
          <w:color w:val="000000" w:themeColor="text1"/>
        </w:rPr>
        <w:instrText>ADDIN CSL_CITATION {"citationItems":[{"id":"ITEM-1","itemData":{"ISBN":"9781107117181","abstract":"\"Analyses the ways in which the poor engage with politics, highlighting the often contradictory and entangled means by which they advance their claims\"-- Introduction : against false binaries -- Poverty, democracy and political spaces -- From clientelism to citizenship? : the politics of supplications -- From moral vocabularies to languages of stateness? : the politics of applications -- From backwardness to improvement? : the politics of disputation -- From tradition to modernity? : the politics of identification -- Conclusion.","author":[{"dropping-particle":"","family":"Roy","given":"Indrajit","non-dropping-particle":"","parse-names":false,"suffix":""}],"id":"ITEM-1","issued":{"date-parts":[["2018"]]},"publisher":"Cambridge University Press","publisher-place":"Cambridge","title":"Politics of the poor : negotiating democracy in contemporary India","type":"book"},"uris":["http://www.mendeley.com/documents/?uuid=140633f2-6535-3597-8078-9a718404f0eb"]},{"id":"ITEM-2","itemData":{"DOI":"10.1080/00220388.2020.1826446","ISSN":"17439140","abstract":"Dramatic differences in the quality of human life are a prominent feature of today’s world. Poverty and inequality mutilate the life chances of millions around the globe, notwithstanding otherwise impressive economic achievements. To offset the challenges posed by the persistence and production of poverty and inequality, many governments and international development agencies have begun to formulate and implement agendas for social protection. Nevertheless, even as governments institute social protection programmes to ameliorate human misery, the outcomes of such initiatives remain vastly varied. Understanding the factors for such variations assumes urgent relevance. What explains such variations? In this paper, I contribute to the growing body of scholarship that seeks to reignite interest in class politics as shaping the implementation of social protections. I build on and develop a discussion of politics that takes seriously class politics, especially the ensemble of collaborations and competitions between classes. I nuance existing perspectives on class politics by emphasising the importance of both collaboration as well as conflict between social classes.","author":[{"dropping-particle":"","family":"Roy","given":"Indrajit","non-dropping-particle":"","parse-names":false,"suffix":""}],"container-title":"Journal of Development Studies","id":"ITEM-2","issue":"00","issued":{"date-parts":[["2020"]]},"page":"1-18","publisher":"Routledge","title":"Class Coalitions and Social Protection: The Labouring Classes and the National Rural Employment Guarantee Act in Eastern India","type":"article-journal","volume":"00"},"uris":["http://www.mendeley.com/documents/?uuid=c48a650c-2fc1-41da-94ff-3431381f498c"]}],"mendeley":{"formattedCitation":"(Roy, 2018, 2020)","plainTextFormattedCitation":"(Roy, 2018, 2020)","previouslyFormattedCitation":"(Roy, 2018, 2020)"},"properties":{"noteIndex":0},"schema":"https://github.com/citation-style-language/schema/raw/master/csl-citation.json"}</w:instrText>
      </w:r>
      <w:r w:rsidR="00E068E5" w:rsidRPr="00FD33A1">
        <w:rPr>
          <w:rFonts w:ascii="Times New Roman" w:hAnsi="Times New Roman" w:cs="Times New Roman"/>
          <w:color w:val="000000" w:themeColor="text1"/>
        </w:rPr>
        <w:fldChar w:fldCharType="separate"/>
      </w:r>
      <w:r w:rsidR="00E068E5" w:rsidRPr="00FD33A1">
        <w:rPr>
          <w:rFonts w:ascii="Times New Roman" w:hAnsi="Times New Roman" w:cs="Times New Roman"/>
          <w:noProof/>
          <w:color w:val="000000" w:themeColor="text1"/>
        </w:rPr>
        <w:t>(Roy, 2018, 2020)</w:t>
      </w:r>
      <w:r w:rsidR="00E068E5"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building on this scholarship, argues that Indian society can be seen as divided into three macro categories of entrenched, precarious and labouring classes, each defined through a combination of their relation to the means of production and ability to hire labour on the one hand, and caste status on the other. What this typology highlights </w:t>
      </w:r>
      <w:proofErr w:type="gramStart"/>
      <w:r w:rsidRPr="00FD33A1">
        <w:rPr>
          <w:rFonts w:ascii="Times New Roman" w:hAnsi="Times New Roman" w:cs="Times New Roman"/>
          <w:color w:val="000000" w:themeColor="text1"/>
        </w:rPr>
        <w:t>is</w:t>
      </w:r>
      <w:proofErr w:type="gramEnd"/>
      <w:r w:rsidRPr="00FD33A1">
        <w:rPr>
          <w:rFonts w:ascii="Times New Roman" w:hAnsi="Times New Roman" w:cs="Times New Roman"/>
          <w:color w:val="000000" w:themeColor="text1"/>
        </w:rPr>
        <w:t xml:space="preserve"> that the ownership of material capital combines with caste-based social capital in ways that tend to reinforce each other, but, at the same time, allows for ‘outliers’ – e.g. an upper caste landless labourer or a Dalit large landowner – to be accommodated within the theoretical framework.</w:t>
      </w:r>
    </w:p>
    <w:p w14:paraId="7DF64BA2"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6CC07C76" w14:textId="69130D12"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color w:val="000000" w:themeColor="text1"/>
        </w:rPr>
        <w:t>The intertwining of caste and class is also evident from their substantial overlap across much of India</w:t>
      </w:r>
      <w:r w:rsidR="00E068E5" w:rsidRPr="00FD33A1">
        <w:rPr>
          <w:rFonts w:ascii="Times New Roman" w:hAnsi="Times New Roman" w:cs="Times New Roman"/>
          <w:color w:val="000000" w:themeColor="text1"/>
        </w:rPr>
        <w:t xml:space="preserve"> </w:t>
      </w:r>
      <w:r w:rsidR="00E068E5" w:rsidRPr="00FD33A1">
        <w:rPr>
          <w:rFonts w:ascii="Times New Roman" w:hAnsi="Times New Roman" w:cs="Times New Roman"/>
          <w:color w:val="000000" w:themeColor="text1"/>
        </w:rPr>
        <w:fldChar w:fldCharType="begin" w:fldLock="1"/>
      </w:r>
      <w:r w:rsidR="0089738C" w:rsidRPr="00FD33A1">
        <w:rPr>
          <w:rFonts w:ascii="Times New Roman" w:hAnsi="Times New Roman" w:cs="Times New Roman"/>
          <w:color w:val="000000" w:themeColor="text1"/>
        </w:rPr>
        <w:instrText>ADDIN CSL_CITATION {"citationItems":[{"id":"ITEM-1","itemData":{"author":[{"dropping-particle":"","family":"Desai","given":"Sonalde","non-dropping-particle":"","parse-names":false,"suffix":""},{"dropping-particle":"","family":"Dubey","given":"Amaresh","non-dropping-particle":"","parse-names":false,"suffix":""}],"container-title":"Economic and political weekly","id":"ITEM-1","issue":"11","issued":{"date-parts":[["2012"]]},"page":"40","publisher":"NIH Public Access","title":"Caste in 21st century India: Competing narratives","type":"article-journal","volume":"46"},"uris":["http://www.mendeley.com/documents/?uuid=c9e5f899-0215-47b1-bc84-5e8d1ccc4323"]}],"mendeley":{"formattedCitation":"(Desai &amp; Dubey, 2012)","plainTextFormattedCitation":"(Desai &amp; Dubey, 2012)","previouslyFormattedCitation":"(Desai &amp; Dubey, 2012)"},"properties":{"noteIndex":0},"schema":"https://github.com/citation-style-language/schema/raw/master/csl-citation.json"}</w:instrText>
      </w:r>
      <w:r w:rsidR="00E068E5" w:rsidRPr="00FD33A1">
        <w:rPr>
          <w:rFonts w:ascii="Times New Roman" w:hAnsi="Times New Roman" w:cs="Times New Roman"/>
          <w:color w:val="000000" w:themeColor="text1"/>
        </w:rPr>
        <w:fldChar w:fldCharType="separate"/>
      </w:r>
      <w:r w:rsidR="00E068E5" w:rsidRPr="00FD33A1">
        <w:rPr>
          <w:rFonts w:ascii="Times New Roman" w:hAnsi="Times New Roman" w:cs="Times New Roman"/>
          <w:noProof/>
          <w:color w:val="000000" w:themeColor="text1"/>
        </w:rPr>
        <w:t>(Desai &amp; Dubey, 2012)</w:t>
      </w:r>
      <w:r w:rsidR="00E068E5"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t>
      </w:r>
      <w:r w:rsidRPr="00FD33A1">
        <w:rPr>
          <w:rFonts w:ascii="Times New Roman" w:hAnsi="Times New Roman" w:cs="Times New Roman"/>
        </w:rPr>
        <w:t xml:space="preserve">higher castes are more often found among the higher classes, often in white collar professional occupations, whereas scheduled castes are more commonly associated with unregulated, less stable manual work and lower agricultural positions. When they make it to the ranks of the middle class, they are rarely found in managerial or senior positions, even in the public sector, where the lower castes benefit from affirmative action policies </w:t>
      </w:r>
      <w:r w:rsidR="0089738C" w:rsidRPr="00FD33A1">
        <w:rPr>
          <w:rFonts w:ascii="Times New Roman" w:hAnsi="Times New Roman" w:cs="Times New Roman"/>
        </w:rPr>
        <w:fldChar w:fldCharType="begin" w:fldLock="1"/>
      </w:r>
      <w:r w:rsidR="0089738C" w:rsidRPr="00FD33A1">
        <w:rPr>
          <w:rFonts w:ascii="Times New Roman" w:hAnsi="Times New Roman" w:cs="Times New Roman"/>
        </w:rPr>
        <w:instrText>ADDIN CSL_CITATION {"citationItems":[{"id":"ITEM-1","itemData":{"DOI":"10.1146/annurev-soc-071913-043303","ISSN":"03600572","abstract":"The caste system, its salient characteristics, and its subtle and more obvious transformations, coupled with its persistence and pervasiveness, have been central to studies of Indian society. This review provides a specific view of caste and its transformations with an emphasis on the socioeconomic or labor market dimension. Such a perspective is particularly crucial as one of the distinctive features of caste is the inheritance of occupations. A major argument of modernization has been the increasing movement away from occupational inheritance. This review traces the limited support for the \"Orientalist\" view of caste as essentially unchanging and focuses on the fluid nature of caste and its transformation in the economic domain. © Copyright ©2014 by Annual Reviews. All rights reserved.","author":[{"dropping-particle":"","family":"Vaid","given":"Divya","non-dropping-particle":"","parse-names":false,"suffix":""}],"container-title":"Annual Review of Sociology","id":"ITEM-1","issued":{"date-parts":[["2014"]]},"title":"Caste in contemporary India: Flexibility and persistence","type":"article"},"uris":["http://www.mendeley.com/documents/?uuid=a3eb04d8-04c1-46bd-9093-a21627c23442"]},{"id":"ITEM-2","itemData":{"DOI":"10.1016/j.worlddev.2018.06.003","ISSN":"18735991","abstract":"Inherited caste identity is an important determinant of life opportunity for a fifth of the world's population, but is not given the same significance in global development policy debates as gender, race, age, religion or other identity characteristics. This review asks why addressing caste-based inequality and discrimination does not feature in intergovernmental commitments such as the Sustainable Development Goals, and whether it should. Taking India as its focus, it finds that caste has been treated as an archaic system and source of historical disadvantage due compensation through affirmative action in ways that overlook its continuing importance as a structure of advantage and of discrimination in the modern economy, especially post-liberalization from the 1990s. A body of recent literature from anthropology, economics, history and political science is used to explore the modern life of caste in society, economy and development. Questions are asked about caste as social hierarchy, the role of caste in post-liberalization rural inequality, in urban labor markets and in the business economy, and the effect of policies of affirmative action in public-sector education and employment. Caste is found to be a complex institution, simultaneously weakened and revived by current economic and political forces; it is a contributor to persisting national socioeconomic and human capital disparities, and has major impacts on subjective wellbeing. Caste effects are not locational; they travel from the village to the city and into virtually all markets. Caste persists in the age of the market because of its advantages – its discriminations allow opportunity hoarding for others; and the threat of the advancement of subordinated groups provokes humiliating violence against them. The evidence points to the need for policy innovation to address market and non-market discrimination and to remove barriers, especially in the informal and private sector; and to ensure caste has its proper place in the global development policy debate.","author":[{"dropping-particle":"","family":"Mosse","given":"David","non-dropping-particle":"","parse-names":false,"suffix":""}],"container-title":"World Development","id":"ITEM-2","issued":{"date-parts":[["2018"]]},"title":"Caste and development: Contemporary perspectives on a structure of discrimination and advantage","type":"article"},"uris":["http://www.mendeley.com/documents/?uuid=bb234713-837c-4627-b148-a1f3aba35a74"]}],"mendeley":{"formattedCitation":"(Mosse, 2018; Vaid, 2014)","plainTextFormattedCitation":"(Mosse, 2018; Vaid, 2014)","previouslyFormattedCitation":"(Mosse, 2018; Vaid, 2014)"},"properties":{"noteIndex":0},"schema":"https://github.com/citation-style-language/schema/raw/master/csl-citation.json"}</w:instrText>
      </w:r>
      <w:r w:rsidR="0089738C" w:rsidRPr="00FD33A1">
        <w:rPr>
          <w:rFonts w:ascii="Times New Roman" w:hAnsi="Times New Roman" w:cs="Times New Roman"/>
        </w:rPr>
        <w:fldChar w:fldCharType="separate"/>
      </w:r>
      <w:r w:rsidR="0089738C" w:rsidRPr="00FD33A1">
        <w:rPr>
          <w:rFonts w:ascii="Times New Roman" w:hAnsi="Times New Roman" w:cs="Times New Roman"/>
          <w:noProof/>
        </w:rPr>
        <w:t>(Mosse, 2018; Vaid, 2014)</w:t>
      </w:r>
      <w:r w:rsidR="0089738C" w:rsidRPr="00FD33A1">
        <w:rPr>
          <w:rFonts w:ascii="Times New Roman" w:hAnsi="Times New Roman" w:cs="Times New Roman"/>
        </w:rPr>
        <w:fldChar w:fldCharType="end"/>
      </w:r>
      <w:r w:rsidRPr="00FD33A1">
        <w:rPr>
          <w:rFonts w:ascii="Times New Roman" w:hAnsi="Times New Roman" w:cs="Times New Roman"/>
        </w:rPr>
        <w:t xml:space="preserve">. However, since independence, education, economic opportunities, protective discrimination and progressive legislative reforms have contributed to the diversification of the hitherto uniformity of the ‘old’ middle class category which has been dominated by upper caste elite. In the emerging </w:t>
      </w:r>
      <w:r w:rsidR="009D79B3" w:rsidRPr="00FD33A1">
        <w:rPr>
          <w:rFonts w:ascii="Times New Roman" w:hAnsi="Times New Roman" w:cs="Times New Roman"/>
        </w:rPr>
        <w:t>‘</w:t>
      </w:r>
      <w:proofErr w:type="spellStart"/>
      <w:r w:rsidRPr="00FD33A1">
        <w:rPr>
          <w:rFonts w:ascii="Times New Roman" w:hAnsi="Times New Roman" w:cs="Times New Roman"/>
        </w:rPr>
        <w:t>classisation</w:t>
      </w:r>
      <w:proofErr w:type="spellEnd"/>
      <w:r w:rsidRPr="00FD33A1">
        <w:rPr>
          <w:rFonts w:ascii="Times New Roman" w:hAnsi="Times New Roman" w:cs="Times New Roman"/>
        </w:rPr>
        <w:t xml:space="preserve"> of caste</w:t>
      </w:r>
      <w:r w:rsidR="009D79B3" w:rsidRPr="00FD33A1">
        <w:rPr>
          <w:rFonts w:ascii="Times New Roman" w:hAnsi="Times New Roman" w:cs="Times New Roman"/>
        </w:rPr>
        <w:t>’</w:t>
      </w:r>
      <w:r w:rsidRPr="00FD33A1">
        <w:rPr>
          <w:rFonts w:ascii="Times New Roman" w:hAnsi="Times New Roman" w:cs="Times New Roman"/>
        </w:rPr>
        <w:t>, castes relates to categories of social stratification premised on a different set of principles than those of a ritual hierarchy</w:t>
      </w:r>
      <w:r w:rsidR="0089738C" w:rsidRPr="00FD33A1">
        <w:rPr>
          <w:rFonts w:ascii="Times New Roman" w:hAnsi="Times New Roman" w:cs="Times New Roman"/>
        </w:rPr>
        <w:t xml:space="preserve"> </w:t>
      </w:r>
      <w:r w:rsidR="0089738C" w:rsidRPr="00FD33A1">
        <w:rPr>
          <w:rFonts w:ascii="Times New Roman" w:hAnsi="Times New Roman" w:cs="Times New Roman"/>
        </w:rPr>
        <w:fldChar w:fldCharType="begin" w:fldLock="1"/>
      </w:r>
      <w:r w:rsidR="0089738C" w:rsidRPr="00FD33A1">
        <w:rPr>
          <w:rFonts w:ascii="Times New Roman" w:hAnsi="Times New Roman" w:cs="Times New Roman"/>
        </w:rPr>
        <w:instrText>ADDIN CSL_CITATION {"citationItems":[{"id":"ITEM-1","itemData":{"author":[{"dropping-particle":"","family":"Sheth","given":"D L","non-dropping-particle":"","parse-names":false,"suffix":""}],"container-title":"Economic and Political Weekly","id":"ITEM-1","issue":"34/35","issued":{"date-parts":[["1999"]]},"page":"2502-2510","title":"Secularisation of Caste and Making of New Middle Class","type":"article-journal","volume":"34"},"uris":["http://www.mendeley.com/documents/?uuid=8c827f74-5f6e-4644-a257-22cc06842e79"]}],"mendeley":{"formattedCitation":"(Sheth, 1999)","plainTextFormattedCitation":"(Sheth, 1999)","previouslyFormattedCitation":"(Sheth, 1999)"},"properties":{"noteIndex":0},"schema":"https://github.com/citation-style-language/schema/raw/master/csl-citation.json"}</w:instrText>
      </w:r>
      <w:r w:rsidR="0089738C" w:rsidRPr="00FD33A1">
        <w:rPr>
          <w:rFonts w:ascii="Times New Roman" w:hAnsi="Times New Roman" w:cs="Times New Roman"/>
        </w:rPr>
        <w:fldChar w:fldCharType="separate"/>
      </w:r>
      <w:r w:rsidR="0089738C" w:rsidRPr="00FD33A1">
        <w:rPr>
          <w:rFonts w:ascii="Times New Roman" w:hAnsi="Times New Roman" w:cs="Times New Roman"/>
          <w:noProof/>
        </w:rPr>
        <w:t>(Sheth, 1999)</w:t>
      </w:r>
      <w:r w:rsidR="0089738C" w:rsidRPr="00FD33A1">
        <w:rPr>
          <w:rFonts w:ascii="Times New Roman" w:hAnsi="Times New Roman" w:cs="Times New Roman"/>
        </w:rPr>
        <w:fldChar w:fldCharType="end"/>
      </w:r>
      <w:r w:rsidRPr="00FD33A1">
        <w:rPr>
          <w:rFonts w:ascii="Times New Roman" w:hAnsi="Times New Roman" w:cs="Times New Roman"/>
        </w:rPr>
        <w:t xml:space="preserve">. </w:t>
      </w:r>
      <w:proofErr w:type="gramStart"/>
      <w:r w:rsidRPr="00FD33A1">
        <w:rPr>
          <w:rFonts w:ascii="Times New Roman" w:hAnsi="Times New Roman" w:cs="Times New Roman"/>
        </w:rPr>
        <w:t>Thus</w:t>
      </w:r>
      <w:proofErr w:type="gramEnd"/>
      <w:r w:rsidRPr="00FD33A1">
        <w:rPr>
          <w:rFonts w:ascii="Times New Roman" w:hAnsi="Times New Roman" w:cs="Times New Roman"/>
        </w:rPr>
        <w:t xml:space="preserve"> the emergent ‘new’ middle </w:t>
      </w:r>
      <w:r w:rsidRPr="00FD33A1">
        <w:rPr>
          <w:rFonts w:ascii="Times New Roman" w:hAnsi="Times New Roman" w:cs="Times New Roman"/>
        </w:rPr>
        <w:lastRenderedPageBreak/>
        <w:t>class is open to different caste members with modern education, non-traditional occupations, and political power, with a substantial percentage from different lower caste social groups.</w:t>
      </w:r>
      <w:r w:rsidRPr="00FD33A1">
        <w:rPr>
          <w:rStyle w:val="Rimandonotaapidipagina"/>
          <w:rFonts w:ascii="Times New Roman" w:hAnsi="Times New Roman" w:cs="Times New Roman"/>
        </w:rPr>
        <w:footnoteReference w:id="3"/>
      </w:r>
      <w:r w:rsidRPr="00FD33A1">
        <w:rPr>
          <w:rFonts w:ascii="Times New Roman" w:hAnsi="Times New Roman" w:cs="Times New Roman"/>
        </w:rPr>
        <w:t xml:space="preserve"> </w:t>
      </w:r>
    </w:p>
    <w:p w14:paraId="2F73A96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33611D0" w14:textId="69FA0B29"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rPr>
        <w:t>These changes have contributed to intra-caste differentiation (and ensuing discrimination) across social groups</w:t>
      </w:r>
      <w:r w:rsidR="0089738C" w:rsidRPr="00FD33A1">
        <w:rPr>
          <w:rFonts w:ascii="Times New Roman" w:hAnsi="Times New Roman" w:cs="Times New Roman"/>
        </w:rPr>
        <w:t xml:space="preserve"> </w:t>
      </w:r>
      <w:r w:rsidR="0089738C" w:rsidRPr="00FD33A1">
        <w:rPr>
          <w:rFonts w:ascii="Times New Roman" w:hAnsi="Times New Roman" w:cs="Times New Roman"/>
        </w:rPr>
        <w:fldChar w:fldCharType="begin" w:fldLock="1"/>
      </w:r>
      <w:r w:rsidR="00367D4A" w:rsidRPr="00FD33A1">
        <w:rPr>
          <w:rFonts w:ascii="Times New Roman" w:hAnsi="Times New Roman" w:cs="Times New Roman"/>
        </w:rPr>
        <w:instrText>ADDIN CSL_CITATION {"citationItems":[{"id":"ITEM-1","itemData":{"ISSN":"0012-9976","author":[{"dropping-particle":"","family":"Verma","given":"Anil K","non-dropping-particle":"","parse-names":false,"suffix":""}],"container-title":"Economic and Political Weekly","id":"ITEM-1","issued":{"date-parts":[["2005"]]},"page":"3889-3892","publisher":"JSTOR","title":"Backward Caste Politics in Uttar Pradesh","type":"article-journal"},"uris":["http://www.mendeley.com/documents/?uuid=5f37556f-714d-460f-ba27-a4f1c7719119"]},{"id":"ITEM-2","itemData":{"DOI":"10.4324/9780203814055","ISBN":"9780203814055","abstract":"Firmly situated within the analytics of the political economy of a north Indian province, this book explores self-fashioning in pursuit of the modern amongst low-caste Chamars. Challenging existing accounts of national modernity in the non-West, the book argues that subaltern classes shape their own ideas about modernity by taking and rejecting from models of other classes within the same national context. While displacing the West - in its colonial and non-colonial manifestations - as the immanent comparative focus, the book puts forward a unique framework for the analysis of subaltern modernity. This builds on the entanglements between two main trajectories, both of which are viewed as the outcome of the generative impetus of modernisation in India: The first consists of the Chamar appropriation of socio-cultural distinctions forged by 19th-century Indian middle classes in their encounter with colonial modernity; the second features the Chamar subversion of high-caste ideals and practices as a result of low-caste politics initiated during the 20th century. The author contends that these conflicting trends give rise to a temporal antinomy within the Chamar politics of self-making, caught up between compulsions of a past modern and of a contemporary one. The eclectic outcome is termed as ‘retro-modernity’. While the book signals a politics of becoming whose dynamics had previously been overlooked by scholars, it simultaneously opens up novel avenues for the understanding of non-elite modern life-forms in postcolonial settings.\nThe book will interest scholars of anthropology, South Asian studies, development studies, gender studies, political science and postcolonial studies.","author":[{"dropping-particle":"","family":"Ciotti","given":"Manuela","non-dropping-particle":"","parse-names":false,"suffix":""}],"container-title":"Retro-Modern India: Forging the Low-Caste Self","id":"ITEM-2","issued":{"date-parts":[["2012"]]},"title":"Retro-modern India: Forging the low-caste self","type":"book"},"uris":["http://www.mendeley.com/documents/?uuid=3924c2e4-4023-4ca0-b9fe-4d79195a555e"]}],"mendeley":{"formattedCitation":"(Ciotti, 2012; Verma, 2005)","plainTextFormattedCitation":"(Ciotti, 2012; Verma, 2005)","previouslyFormattedCitation":"(Ciotti, 2012; Verma, 2005)"},"properties":{"noteIndex":0},"schema":"https://github.com/citation-style-language/schema/raw/master/csl-citation.json"}</w:instrText>
      </w:r>
      <w:r w:rsidR="0089738C" w:rsidRPr="00FD33A1">
        <w:rPr>
          <w:rFonts w:ascii="Times New Roman" w:hAnsi="Times New Roman" w:cs="Times New Roman"/>
        </w:rPr>
        <w:fldChar w:fldCharType="separate"/>
      </w:r>
      <w:r w:rsidR="0089738C" w:rsidRPr="00FD33A1">
        <w:rPr>
          <w:rFonts w:ascii="Times New Roman" w:hAnsi="Times New Roman" w:cs="Times New Roman"/>
          <w:noProof/>
        </w:rPr>
        <w:t>(Ciotti, 2012; Verma, 2005)</w:t>
      </w:r>
      <w:r w:rsidR="0089738C" w:rsidRPr="00FD33A1">
        <w:rPr>
          <w:rFonts w:ascii="Times New Roman" w:hAnsi="Times New Roman" w:cs="Times New Roman"/>
        </w:rPr>
        <w:fldChar w:fldCharType="end"/>
      </w:r>
      <w:r w:rsidRPr="00FD33A1">
        <w:rPr>
          <w:rFonts w:ascii="Times New Roman" w:hAnsi="Times New Roman" w:cs="Times New Roman"/>
        </w:rPr>
        <w:t xml:space="preserve">.  </w:t>
      </w:r>
      <w:r w:rsidRPr="00FD33A1">
        <w:rPr>
          <w:rFonts w:ascii="Times New Roman" w:hAnsi="Times New Roman" w:cs="Times New Roman"/>
          <w:color w:val="000000" w:themeColor="text1"/>
        </w:rPr>
        <w:t xml:space="preserve">For instance, in recent decades, dominant caste farmers have gone through a process of internal differentiation and have significantly expanded their activities in the non-agricultural sector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{"citationItems":[{"id":"ITEM-1","itemData":{"DOI":"10.1111/1475-5661.00016","ISBN":"0130259470","ISSN":"0020-2754","abstract":"This paper explores the spatiality of caste and power in contemporary rural north India. I aim to introduce the social institution of caste to a non-specialist audience and illustrate how caste is changing. The paper draws upon Pierre Bourdieu's notions of social capital and habitus and the India-based research of Srinivas (1955) and Mendelsohn (1993). I argue that while caste as a religiously sanctioned system of resource transfer is in decline, caste organization and identity are important forms of social or symbolic capital for rural elites. Drawing on detailed empirical research in western Uttar Pradesh, I demonstrate the continuing importance of caste dominance in the reproduction of social inequality and relate caste to other axes of power.","author":[{"dropping-particle":"","family":"Jeffrey","given":"Craig","non-dropping-particle":"","parse-names":false,"suffix":""}],"container-title":"Transitions of the Institute of British Geographers","id":"ITEM-1","issued":{"date-parts":[["2001"]]},"page":"217-236","title":"' A fist is stronger than five fingers ': caste and dominance in rural north India","type":"article-journal","volume":"26"},"uris":["http://www.mendeley.com/documents/?uuid=a5258930-5f47-4254-a38a-b4c842640150"]},{"id":"ITEM-2","itemData":{"ISSN":"0162-0436","author":[{"dropping-particle":"","family":"Price","given":"Pamela","non-dropping-particle":"","parse-names":false,"suffix":""}],"container-title":"Qualitative sociology","id":"ITEM-2","issue":"3","issued":{"date-parts":[["2006"]]},"page":"301-316","publisher":"Springer","title":"Changing meanings of authority in contemporary rural India","type":"article-journal","volume":"29"},"uris":["http://www.mendeley.com/documents/?uuid=cf64cb6f-d4fc-42bb-bc13-68cd21930212"]},{"id":"ITEM-3","itemData":{"ISSN":"0038-0229","author":[{"dropping-particle":"","family":"Gupta","given":"Priyanshu","non-dropping-particle":"","parse-names":false,"suffix":""},{"dropping-particle":"","family":"Thakur","given":"Manish","non-dropping-particle":"","parse-names":false,"suffix":""}],"container-title":"Sociological Bulletin","id":"ITEM-3","issue":"1","issued":{"date-parts":[["2017"]]},"page":"42-57","publisher":"SAGE Publications Sage India: New Delhi, India","title":"The Changing Rural-agrarian Dominance: A Conceptual Excursus","type":"article-journal","volume":"66"},"uris":["http://www.mendeley.com/documents/?uuid=4071c970-f597-4586-9479-b2dc0f4423d8"]}],"mendeley":{"formattedCitation":"(P. Gupta &amp; Thakur, 2017; Jeffrey, 2001; Price, 2006)","manualFormatting":" (Gupta &amp; Thakur, 2017; Jeffrey, 2001; Price, 2006)","plainTextFormattedCitation":"(P. Gupta &amp; Thakur, 2017; Jeffrey, 2001; Price, 2006)","previouslyFormattedCitation":"(P. Gupta &amp; Thakur, 2017; Jeffrey, 2001; Price, 2006)"},"properties":{"noteIndex":0},"schema":"https://github.com/citation-style-language/schema/raw/master/csl-citation.json"}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 xml:space="preserve"> (Gupta &amp; Thakur, 2017; Jeffrey, 2001; Price, 2006)</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This reflects broader changes in India’s economy, whereby the importance of agriculture has declined steadily, both in terms of its contribution to the GDP and in terms of a source of wealth and status for the dominant landowning castes. Many of them used their wealth, over the past decades, to invest in non-agricultural activities, primarily to secure the future of their children in terms of education and economic well-being. This has helped them maintain their status in the village and contributed to their economic security, in turn helping them to relate with Dalit villagers from a position of strength. </w:t>
      </w:r>
    </w:p>
    <w:p w14:paraId="4C55F9AE"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9586CFF" w14:textId="04E32BB6"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However, not all upper castes belong to the economic elites of the villages or, conversely, all Dalits are invariably poor</w:t>
      </w:r>
      <w:r w:rsidR="00367D4A" w:rsidRPr="00FD33A1">
        <w:rPr>
          <w:rFonts w:ascii="Times New Roman" w:hAnsi="Times New Roman" w:cs="Times New Roman"/>
          <w:color w:val="000000" w:themeColor="text1"/>
        </w:rPr>
        <w:t xml:space="preserve"> </w:t>
      </w:r>
      <w:r w:rsidR="00367D4A" w:rsidRPr="00FD33A1">
        <w:rPr>
          <w:rFonts w:ascii="Times New Roman" w:hAnsi="Times New Roman" w:cs="Times New Roman"/>
          <w:color w:val="000000" w:themeColor="text1"/>
        </w:rPr>
        <w:fldChar w:fldCharType="begin" w:fldLock="1"/>
      </w:r>
      <w:r w:rsidR="00367D4A" w:rsidRPr="00FD33A1">
        <w:rPr>
          <w:rFonts w:ascii="Times New Roman" w:hAnsi="Times New Roman" w:cs="Times New Roman"/>
          <w:color w:val="000000" w:themeColor="text1"/>
        </w:rPr>
        <w:instrText>ADDIN CSL_CITATION {"citationItems":[{"id":"ITEM-1","itemData":{"ISSN":"00129976","abstract":"What does one make of the tiny section of dalits propagating dalit capitalism?.","author":[{"dropping-particle":"","family":"Teltumbde","given":"Anand","non-dropping-particle":"","parse-names":false,"suffix":""}],"container-title":"Economic and Political Weekly","id":"ITEM-1","issued":{"date-parts":[["2011"]]},"title":"Dalit capitalism and pseudo dalitism","type":"article"},"uris":["http://www.mendeley.com/documents/?uuid=3c7e7cc6-25fa-483d-ac15-6656761533bd"]}],"mendeley":{"formattedCitation":"(Teltumbde, 2011)","plainTextFormattedCitation":"(Teltumbde, 2011)","previouslyFormattedCitation":"(Teltumbde, 2011)"},"properties":{"noteIndex":0},"schema":"https://github.com/citation-style-language/schema/raw/master/csl-citation.json"}</w:instrText>
      </w:r>
      <w:r w:rsidR="00367D4A" w:rsidRPr="00FD33A1">
        <w:rPr>
          <w:rFonts w:ascii="Times New Roman" w:hAnsi="Times New Roman" w:cs="Times New Roman"/>
          <w:color w:val="000000" w:themeColor="text1"/>
        </w:rPr>
        <w:fldChar w:fldCharType="separate"/>
      </w:r>
      <w:r w:rsidR="00367D4A" w:rsidRPr="00FD33A1">
        <w:rPr>
          <w:rFonts w:ascii="Times New Roman" w:hAnsi="Times New Roman" w:cs="Times New Roman"/>
          <w:noProof/>
          <w:color w:val="000000" w:themeColor="text1"/>
        </w:rPr>
        <w:t>(Teltumbde, 2011)</w:t>
      </w:r>
      <w:r w:rsidR="00367D4A"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In other words, no caste is homogenous in relation to class- with several class differentiations within a caste </w:t>
      </w:r>
      <w:r w:rsidR="00367D4A" w:rsidRPr="00FD33A1">
        <w:rPr>
          <w:rFonts w:ascii="Times New Roman" w:hAnsi="Times New Roman" w:cs="Times New Roman"/>
          <w:color w:val="000000" w:themeColor="text1"/>
        </w:rPr>
        <w:fldChar w:fldCharType="begin" w:fldLock="1"/>
      </w:r>
      <w:r w:rsidR="00E54184" w:rsidRPr="00FD33A1">
        <w:rPr>
          <w:rFonts w:ascii="Times New Roman" w:hAnsi="Times New Roman" w:cs="Times New Roman"/>
          <w:color w:val="000000" w:themeColor="text1"/>
        </w:rPr>
        <w:instrText>ADDIN CSL_CITATION {"citationItems":[{"id":"ITEM-1","itemData":{"author":[{"dropping-particle":"","family":"Parry","given":"Jonathan","non-dropping-particle":"","parse-names":false,"suffix":""}],"id":"ITEM-1","issued":{"date-parts":[["2020"]]},"publisher":"Routledge","publisher-place":"Oxon","title":"Classes of Labour: Work and Life in a Central Indian Steel Town","type":"book"},"uris":["http://www.mendeley.com/documents/?uuid=a5518094-2338-3dad-8c94-35cf08ad7caa"]}],"mendeley":{"formattedCitation":"(J. Parry, 2020)","plainTextFormattedCitation":"(J. Parry, 2020)","previouslyFormattedCitation":"(J. Parry, 2020)"},"properties":{"noteIndex":0},"schema":"https://github.com/citation-style-language/schema/raw/master/csl-citation.json"}</w:instrText>
      </w:r>
      <w:r w:rsidR="00367D4A" w:rsidRPr="00FD33A1">
        <w:rPr>
          <w:rFonts w:ascii="Times New Roman" w:hAnsi="Times New Roman" w:cs="Times New Roman"/>
          <w:color w:val="000000" w:themeColor="text1"/>
        </w:rPr>
        <w:fldChar w:fldCharType="separate"/>
      </w:r>
      <w:r w:rsidR="00E54184" w:rsidRPr="00FD33A1">
        <w:rPr>
          <w:rFonts w:ascii="Times New Roman" w:hAnsi="Times New Roman" w:cs="Times New Roman"/>
          <w:noProof/>
          <w:color w:val="000000" w:themeColor="text1"/>
        </w:rPr>
        <w:t>(J. Parry, 2020)</w:t>
      </w:r>
      <w:r w:rsidR="00367D4A"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As </w:t>
      </w:r>
      <w:proofErr w:type="spellStart"/>
      <w:r w:rsidRPr="00FD33A1">
        <w:rPr>
          <w:rFonts w:ascii="Times New Roman" w:hAnsi="Times New Roman" w:cs="Times New Roman"/>
          <w:color w:val="000000" w:themeColor="text1"/>
        </w:rPr>
        <w:t>Beteille</w:t>
      </w:r>
      <w:proofErr w:type="spellEnd"/>
      <w:r w:rsidRPr="00FD33A1">
        <w:rPr>
          <w:rFonts w:ascii="Times New Roman" w:hAnsi="Times New Roman" w:cs="Times New Roman"/>
          <w:color w:val="000000" w:themeColor="text1"/>
        </w:rPr>
        <w:t xml:space="preserve"> </w:t>
      </w:r>
      <w:r w:rsidR="00E54184" w:rsidRPr="00FD33A1">
        <w:rPr>
          <w:rFonts w:ascii="Times New Roman" w:hAnsi="Times New Roman" w:cs="Times New Roman"/>
          <w:color w:val="000000" w:themeColor="text1"/>
        </w:rPr>
        <w:fldChar w:fldCharType="begin" w:fldLock="1"/>
      </w:r>
      <w:r w:rsidR="00E54184" w:rsidRPr="00FD33A1">
        <w:rPr>
          <w:rFonts w:ascii="Times New Roman" w:hAnsi="Times New Roman" w:cs="Times New Roman"/>
          <w:color w:val="000000" w:themeColor="text1"/>
        </w:rPr>
        <w:instrText>ADDIN CSL_CITATION {"citationItems":[{"id":"ITEM-1","itemData":{"ISSN":"00129976","abstract":"In the Indian context, classes and communities do not form interchangeable categories. Caste, a defining feature of the community in India, j has been a vital socio-economic institution since historical times. But it is Indian politics, especially since post-independence, that has been shaped by competing communities and the ascendancy \"acquired\" by certain communities over the other. However, as this article suggests, the two categories are not wholly disparate; rather it is the middle class that has been largely responsible for spearheading the interests of their respective communities. A potent tool in this ascendancy has been the issue of \"reservations.","author":[{"dropping-particle":"","family":"Beteille","given":"Andre","non-dropping-particle":"","parse-names":false,"suffix":""}],"container-title":"Economic and Political Weekly","id":"ITEM-1","issued":{"date-parts":[["2007"]]},"title":"Classes and communities","type":"article-journal"},"locator":"951","suppress-author":1,"uris":["http://www.mendeley.com/documents/?uuid=683204c5-1052-4a46-82ba-4e43ab40fbe9"]}],"mendeley":{"formattedCitation":"(2007, p. 951)","plainTextFormattedCitation":"(2007, p. 951)","previouslyFormattedCitation":"(2007, p. 951)"},"properties":{"noteIndex":0},"schema":"https://github.com/citation-style-language/schema/raw/master/csl-citation.json"}</w:instrText>
      </w:r>
      <w:r w:rsidR="00E54184" w:rsidRPr="00FD33A1">
        <w:rPr>
          <w:rFonts w:ascii="Times New Roman" w:hAnsi="Times New Roman" w:cs="Times New Roman"/>
          <w:color w:val="000000" w:themeColor="text1"/>
        </w:rPr>
        <w:fldChar w:fldCharType="separate"/>
      </w:r>
      <w:r w:rsidR="00E54184" w:rsidRPr="00FD33A1">
        <w:rPr>
          <w:rFonts w:ascii="Times New Roman" w:hAnsi="Times New Roman" w:cs="Times New Roman"/>
          <w:noProof/>
          <w:color w:val="000000" w:themeColor="text1"/>
        </w:rPr>
        <w:t>(2007, p. 951)</w:t>
      </w:r>
      <w:r w:rsidR="00E54184"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points out,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 there are economic disparities not only between the different communities of birth but also within each one of them (…) whether we take the religious minorities or the backward castes, [with] individuals and households belonging to most if not all social classes’’. To give an example, we interviewed an upper caste (Reddy) farmer in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of AP who had lost most of his 10 acres of land because of indebtedness and declining rainfall over the last 10 years and who was as poor as some of the Dalits residing in the same area. Thus, </w:t>
      </w:r>
      <w:r w:rsidRPr="00FD33A1">
        <w:rPr>
          <w:rFonts w:ascii="Times New Roman" w:hAnsi="Times New Roman" w:cs="Times New Roman"/>
        </w:rPr>
        <w:t xml:space="preserve">while Dalits find it harder than other groups to take advantage of upward class mobility, upper castes are not completely immune to downward mobility. </w:t>
      </w:r>
      <w:r w:rsidRPr="00FD33A1">
        <w:rPr>
          <w:rFonts w:ascii="Times New Roman" w:hAnsi="Times New Roman" w:cs="Times New Roman"/>
          <w:color w:val="000000" w:themeColor="text1"/>
        </w:rPr>
        <w:t xml:space="preserve">Similarly, a Dalit farmer from the same village had secured from the government (through a personal connection with a local politician) a borewell to be constructed on his land, which increased his income manifold and allowed him to purchase additional land and </w:t>
      </w:r>
      <w:r w:rsidRPr="00FD33A1">
        <w:rPr>
          <w:rFonts w:ascii="Times New Roman" w:hAnsi="Times New Roman" w:cs="Times New Roman"/>
          <w:color w:val="000000" w:themeColor="text1"/>
        </w:rPr>
        <w:lastRenderedPageBreak/>
        <w:t xml:space="preserve">even a tractor. This also creates differentiation amongst Dalits with some, as our example illustrates, enter into upper echelons of the class system. </w:t>
      </w:r>
    </w:p>
    <w:p w14:paraId="705A228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CEAFE6A"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In our fieldwork locations, however, caste and class largely overlapped. Farmers in the villages where we conducted fieldwork were an almost perfect exemplification of what Srinivas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{"citationItems":[{"id":"ITEM-1","itemData":{"ISSN":"1548-1433","author":[{"dropping-particle":"","family":"Srinivas","given":"Mysore N","non-dropping-particle":"","parse-names":false,"suffix":""}],"container-title":"American anthropologist","id":"ITEM-1","issue":"1","issued":{"date-parts":[["1959"]]},"page":"1-16","publisher":"Wiley Online Library","title":"The dominant caste in Rampura","type":"article-journal","volume":"61"},"suppress-author":1,"uris":["http://www.mendeley.com/documents/?uuid=7f2c4121-0d83-48c0-abff-327bb6186a4f"]}],"mendeley":{"formattedCitation":"(1959)","plainTextFormattedCitation":"(1959)","previouslyFormattedCitation":"(1959)"},"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(1959)</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called the ‘dominant caste’,</w:t>
      </w:r>
      <w:r w:rsidRPr="00FD33A1">
        <w:rPr>
          <w:rStyle w:val="Rimandonotaapidipagina"/>
          <w:rFonts w:ascii="Times New Roman" w:hAnsi="Times New Roman" w:cs="Times New Roman"/>
          <w:color w:val="000000" w:themeColor="text1"/>
        </w:rPr>
        <w:footnoteReference w:id="4"/>
      </w:r>
      <w:r w:rsidRPr="00FD33A1">
        <w:rPr>
          <w:rFonts w:ascii="Times New Roman" w:hAnsi="Times New Roman" w:cs="Times New Roman"/>
          <w:color w:val="000000" w:themeColor="text1"/>
        </w:rPr>
        <w:t xml:space="preserve"> which he defined as an upper/middle caste that, in a given locality, is numerically preponderant and controls economic resources (especially land) and political power. Of course, much has changed since Srinivas’s seminal contribution, but the relevance of the concept of ‘dominant caste’ still holds in contemporary India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{"citationItems":[{"id":"ITEM-1","itemData":{"DOI":"10.1111/1475-5661.00016","ISBN":"0130259470","ISSN":"0020-2754","abstract":"This paper explores the spatiality of caste and power in contemporary rural north India. I aim to introduce the social institution of caste to a non-specialist audience and illustrate how caste is changing. The paper draws upon Pierre Bourdieu's notions of social capital and habitus and the India-based research of Srinivas (1955) and Mendelsohn (1993). I argue that while caste as a religiously sanctioned system of resource transfer is in decline, caste organization and identity are important forms of social or symbolic capital for rural elites. Drawing on detailed empirical research in western Uttar Pradesh, I demonstrate the continuing importance of caste dominance in the reproduction of social inequality and relate caste to other axes of power.","author":[{"dropping-particle":"","family":"Jeffrey","given":"Craig","non-dropping-particle":"","parse-names":false,"suffix":""}],"container-title":"Transitions of the Institute of British Geographers","id":"ITEM-1","issued":{"date-parts":[["2001"]]},"page":"217-236","title":"' A fist is stronger than five fingers ': caste and dominance in rural north India","type":"article-journal","volume":"26"},"uris":["http://www.mendeley.com/documents/?uuid=a5258930-5f47-4254-a38a-b4c842640150"]}],"mendeley":{"formattedCitation":"(Jeffrey, 2001)","plainTextFormattedCitation":"(Jeffrey, 2001)","previouslyFormattedCitation":"(Jeffrey, 2001)"},"properties":{"noteIndex":0},"schema":"https://github.com/citation-style-language/schema/raw/master/csl-citation.json"}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(Jeffrey, 2001)</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despite the fact that, as we will argue below, caste hierarchies and associated dominance have been steadily eroding. </w:t>
      </w:r>
    </w:p>
    <w:p w14:paraId="6E2F080A"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In the villages that we visited, large farmers who employed substantial numbers of agricultural labourers were invariably from dominant castes with at least one member of their families dedicated almost exclusively to agriculture. Similarly, the overwhelming majority of casual labourers were Dalits. In other words, in our fieldwork locations, class and caste overlapped to a very significant extent, albeit not perfectly.</w:t>
      </w:r>
      <w:r w:rsidRPr="00FD33A1">
        <w:rPr>
          <w:rStyle w:val="Rimandonotaapidipagina"/>
          <w:rFonts w:ascii="Times New Roman" w:hAnsi="Times New Roman" w:cs="Times New Roman"/>
          <w:color w:val="000000" w:themeColor="text1"/>
        </w:rPr>
        <w:footnoteReference w:id="5"/>
      </w:r>
      <w:r w:rsidRPr="00FD33A1">
        <w:rPr>
          <w:rFonts w:ascii="Times New Roman" w:hAnsi="Times New Roman" w:cs="Times New Roman"/>
          <w:color w:val="000000" w:themeColor="text1"/>
        </w:rPr>
        <w:t xml:space="preserve"> This resonates with research which indicates that the </w:t>
      </w:r>
      <w:r w:rsidRPr="00FD33A1">
        <w:rPr>
          <w:rFonts w:ascii="Times New Roman" w:hAnsi="Times New Roman" w:cs="Times New Roman"/>
        </w:rPr>
        <w:t xml:space="preserve">caste-class nexus is stronger at the extremes of the caste hierarchy. </w:t>
      </w:r>
    </w:p>
    <w:p w14:paraId="1D54582D"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7C78998" w14:textId="4AA97F82"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color w:val="000000" w:themeColor="text1"/>
        </w:rPr>
        <w:t xml:space="preserve">Our argument – that negotiations over caste norms result in the modification of these norms and promote social change – is built upon a theoretical framework derived from the work of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and Knight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10.1086/204579","ISSN":"0011-3204","author":[{"dropping-particle":"","family":"Ensminger","given":"Jean","non-dropping-particle":"","parse-names":false,"suffix":""},{"dropping-particle":"","family":"Knight","given":"Jack","non-dropping-particle":"","parse-names":false,"suffix":""}],"container-title":"Current Anthropology","id":"ITEM-1","issue":"1","issued":{"date-parts":[["1997","2"]]},"page":"1-24","publisher":" University of Chicago Press ","title":"Changing Social Norms: Common Property, Bridewealth, and Clan Exogamy","type":"article-journal","volume":"38"},"suppress-author":1,"uris":["http://www.mendeley.com/documents/?uuid=6cce47e2-1b71-3cca-9a55-a5b25f6ff112"]}],"mendeley":{"formattedCitation":"(1997)","plainTextFormattedCitation":"(1997)","previouslyFormattedCitation":"(1997)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(1997)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and </w:t>
      </w:r>
      <w:proofErr w:type="spellStart"/>
      <w:r w:rsidRPr="00FD33A1">
        <w:rPr>
          <w:rFonts w:ascii="Times New Roman" w:hAnsi="Times New Roman" w:cs="Times New Roman"/>
          <w:color w:val="000000" w:themeColor="text1"/>
        </w:rPr>
        <w:t>Asef</w:t>
      </w:r>
      <w:proofErr w:type="spellEnd"/>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Bayat</w:t>
      </w:r>
      <w:proofErr w:type="spellEnd"/>
      <w:r w:rsidR="00E54184" w:rsidRPr="00FD33A1">
        <w:rPr>
          <w:rFonts w:ascii="Times New Roman" w:hAnsi="Times New Roman" w:cs="Times New Roman"/>
          <w:color w:val="000000" w:themeColor="text1"/>
        </w:rPr>
        <w:t xml:space="preserve"> </w:t>
      </w:r>
      <w:r w:rsidR="00E54184" w:rsidRPr="00FD33A1">
        <w:rPr>
          <w:rFonts w:ascii="Times New Roman" w:hAnsi="Times New Roman" w:cs="Times New Roman"/>
          <w:color w:val="000000" w:themeColor="text1"/>
        </w:rPr>
        <w:fldChar w:fldCharType="begin" w:fldLock="1"/>
      </w:r>
      <w:r w:rsidR="00E54184" w:rsidRPr="00FD33A1">
        <w:rPr>
          <w:rFonts w:ascii="Times New Roman" w:hAnsi="Times New Roman" w:cs="Times New Roman"/>
          <w:color w:val="000000" w:themeColor="text1"/>
        </w:rPr>
        <w:instrText>ADDIN CSL_CITATION {"citationItems":[{"id":"ITEM-1","itemData":{"ISBN":"080478633X","author":[{"dropping-particle":"","family":"Bayat","given":"Asef","non-dropping-particle":"","parse-names":false,"suffix":""}],"id":"ITEM-1","issued":{"date-parts":[["2013"]]},"publisher":"Stanford University Press","title":"Life as politics: How ordinary people change the Middle East","type":"book"},"suppress-author":1,"uris":["http://www.mendeley.com/documents/?uuid=0580deab-c50f-4403-9ae8-d77c5b7edcde"]}],"mendeley":{"formattedCitation":"(2013)","plainTextFormattedCitation":"(2013)","previouslyFormattedCitation":"(2013)"},"properties":{"noteIndex":0},"schema":"https://github.com/citation-style-language/schema/raw/master/csl-citation.json"}</w:instrText>
      </w:r>
      <w:r w:rsidR="00E54184" w:rsidRPr="00FD33A1">
        <w:rPr>
          <w:rFonts w:ascii="Times New Roman" w:hAnsi="Times New Roman" w:cs="Times New Roman"/>
          <w:color w:val="000000" w:themeColor="text1"/>
        </w:rPr>
        <w:fldChar w:fldCharType="separate"/>
      </w:r>
      <w:r w:rsidR="00E54184" w:rsidRPr="00FD33A1">
        <w:rPr>
          <w:rFonts w:ascii="Times New Roman" w:hAnsi="Times New Roman" w:cs="Times New Roman"/>
          <w:noProof/>
          <w:color w:val="000000" w:themeColor="text1"/>
        </w:rPr>
        <w:t>(2013)</w:t>
      </w:r>
      <w:r w:rsidR="00E54184"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which illuminates processes of social change.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and Knight argue that the emergence of new social norms is often the result of a bargaining process between actors over the distribution of both material and non-material benefits such as power, status or the ability to assert one’s ideological preferences. Thus, new social norms will reflect the preferences of the actor(s) with relatively greater bargaining power.</w:t>
      </w:r>
      <w:r w:rsidRPr="00FD33A1">
        <w:rPr>
          <w:rFonts w:ascii="Times New Roman" w:hAnsi="Times New Roman" w:cs="Times New Roman"/>
        </w:rPr>
        <w:t xml:space="preserve"> </w:t>
      </w:r>
      <w:r w:rsidRPr="00FD33A1">
        <w:rPr>
          <w:rFonts w:ascii="Times New Roman" w:hAnsi="Times New Roman" w:cs="Times New Roman"/>
          <w:color w:val="000000" w:themeColor="text1"/>
        </w:rPr>
        <w:t xml:space="preserve">While we agree with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and Knight that bargaining between actors can lead to the modification of social norms, we suggest that the new norms do not necessarily reflect the more powerful actor’s preferences; rather, what is crucial is not so much the static power position of the actors involved in the negotiations, but their dynamic </w:t>
      </w:r>
      <w:r w:rsidRPr="00FD33A1">
        <w:rPr>
          <w:rFonts w:ascii="Times New Roman" w:hAnsi="Times New Roman" w:cs="Times New Roman"/>
          <w:color w:val="000000" w:themeColor="text1"/>
        </w:rPr>
        <w:lastRenderedPageBreak/>
        <w:t xml:space="preserve">and strategic dimension. Arguably, </w:t>
      </w:r>
      <w:r w:rsidRPr="00FD33A1">
        <w:rPr>
          <w:rFonts w:ascii="Times New Roman" w:hAnsi="Times New Roman" w:cs="Times New Roman"/>
        </w:rPr>
        <w:t xml:space="preserve">bargaining is an interdependent and interactive process that foresees the prevalence of both conflictual and common interests, and where the parties believe that </w:t>
      </w:r>
      <w:r w:rsidR="009D79B3" w:rsidRPr="00FD33A1">
        <w:rPr>
          <w:rFonts w:ascii="Times New Roman" w:hAnsi="Times New Roman" w:cs="Times New Roman"/>
        </w:rPr>
        <w:t>‘</w:t>
      </w:r>
      <w:r w:rsidRPr="00FD33A1">
        <w:rPr>
          <w:rFonts w:ascii="Times New Roman" w:hAnsi="Times New Roman" w:cs="Times New Roman"/>
        </w:rPr>
        <w:t>there is more to lose than to gain by not interacting with the other</w:t>
      </w:r>
      <w:r w:rsidR="009D79B3" w:rsidRPr="00FD33A1">
        <w:rPr>
          <w:rFonts w:ascii="Times New Roman" w:hAnsi="Times New Roman" w:cs="Times New Roman"/>
        </w:rPr>
        <w:t>’</w:t>
      </w:r>
      <w:r w:rsidRPr="00FD33A1">
        <w:rPr>
          <w:rFonts w:ascii="Times New Roman" w:hAnsi="Times New Roman" w:cs="Times New Roman"/>
        </w:rPr>
        <w:t xml:space="preserve"> </w:t>
      </w:r>
      <w:r w:rsidR="00E54184" w:rsidRPr="00FD33A1">
        <w:rPr>
          <w:rFonts w:ascii="Times New Roman" w:hAnsi="Times New Roman" w:cs="Times New Roman"/>
        </w:rPr>
        <w:fldChar w:fldCharType="begin" w:fldLock="1"/>
      </w:r>
      <w:r w:rsidR="00E54184" w:rsidRPr="00FD33A1">
        <w:rPr>
          <w:rFonts w:ascii="Times New Roman" w:hAnsi="Times New Roman" w:cs="Times New Roman"/>
        </w:rPr>
        <w:instrText>ADDIN CSL_CITATION {"citationItems":[{"id":"ITEM-1","itemData":{"DOI":"10.2307/2522363","ISSN":"00197939","abstract":"Negotiation when at least 2 parties involved, with a conflict of interest, joined together in a special type of voluntary relationship concerning division of resources and/or resolution of some intangible issues, usually sequential presentation of proposals or demands followed by concession and counterproposals. Most common dependent variables are frequency of cooperation and magnitude of outcomes. Independent variables include social structure, physical/temporal structure, and issue structure, behavioral predispositions/individual characteristics of bargainers, interdependence, and use of social inflence strategies. Salient dependent audiences that provide evaluation require demonstration of loyalty and commitment as well as advocacy--&gt;more competative behavior. Effective 3rd party interventions create pressure toward agreement. Authoritativeness and impartiality affect trust and confidence in 3rd parties. Coalitions tend to form in multiparty negotiations. The physical setting, including site location/neutrality, physical arrangement of the site, communication availability/use, and time limits exert powerful influence on nature of the bargaining exchange. Intangible issues should be converted to tangible ones, incentives created to avoid zero-sum outcomes, and conscious formation of # of issues, manner of presentation, and display arrangement of different alternatives. Very ambivelent findings from individual differences lit. They try to reconcile many contradictions by using an interpersonal orientation dimension, which doesn't seem to work particularly well. Structural variables still seem to exert a more visible effect on what bargainers do. Most important determinant of bargaining effectiveness is (cooperative/competative) motivational orientation. Power is important, but hard to sort out its independent effects, and interpersonal orientation is important, but seems most important when acting in concert with other two variables. The language of opening moves, patterns of concessions and the use of accompanying appeals and demands are also important.","author":[{"dropping-particle":"","family":"Fraser","given":"C. R. P.","non-dropping-particle":"","parse-names":false,"suffix":""},{"dropping-particle":"","family":"Rubin","given":"Jeffrey Z.","non-dropping-particle":"","parse-names":false,"suffix":""},{"dropping-particle":"","family":"Brown","given":"Bert R.","non-dropping-particle":"","parse-names":false,"suffix":""}],"container-title":"Industrial and Labor Relations Review","id":"ITEM-1","issued":{"date-parts":[["1976"]]},"title":"The Social Psychology of Bargaining and Negotiation.","type":"article-journal"},"locator":"7","uris":["http://www.mendeley.com/documents/?uuid=b78f16fb-09c4-4190-ad3d-7c8f522db55e"]}],"mendeley":{"formattedCitation":"(Fraser, Rubin, &amp; Brown, 1976, p. 7)","plainTextFormattedCitation":"(Fraser, Rubin, &amp; Brown, 1976, p. 7)","previouslyFormattedCitation":"(Fraser, Rubin, &amp; Brown, 1976, p. 7)"},"properties":{"noteIndex":0},"schema":"https://github.com/citation-style-language/schema/raw/master/csl-citation.json"}</w:instrText>
      </w:r>
      <w:r w:rsidR="00E54184" w:rsidRPr="00FD33A1">
        <w:rPr>
          <w:rFonts w:ascii="Times New Roman" w:hAnsi="Times New Roman" w:cs="Times New Roman"/>
        </w:rPr>
        <w:fldChar w:fldCharType="separate"/>
      </w:r>
      <w:r w:rsidR="00E54184" w:rsidRPr="00FD33A1">
        <w:rPr>
          <w:rFonts w:ascii="Times New Roman" w:hAnsi="Times New Roman" w:cs="Times New Roman"/>
          <w:noProof/>
        </w:rPr>
        <w:t>(Fraser, Rubin, &amp; Brown, 1976, p. 7)</w:t>
      </w:r>
      <w:r w:rsidR="00E54184" w:rsidRPr="00FD33A1">
        <w:rPr>
          <w:rFonts w:ascii="Times New Roman" w:hAnsi="Times New Roman" w:cs="Times New Roman"/>
        </w:rPr>
        <w:fldChar w:fldCharType="end"/>
      </w:r>
      <w:r w:rsidRPr="00FD33A1">
        <w:rPr>
          <w:rFonts w:ascii="Times New Roman" w:hAnsi="Times New Roman" w:cs="Times New Roman"/>
        </w:rPr>
        <w:t xml:space="preserve">. </w:t>
      </w:r>
    </w:p>
    <w:p w14:paraId="4CF65E7D" w14:textId="77777777" w:rsidR="00504C4D" w:rsidRPr="00FD33A1" w:rsidRDefault="00504C4D" w:rsidP="00CF2606">
      <w:pPr>
        <w:tabs>
          <w:tab w:val="left" w:pos="5103"/>
        </w:tabs>
        <w:spacing w:line="360" w:lineRule="auto"/>
        <w:rPr>
          <w:rFonts w:ascii="Times New Roman" w:hAnsi="Times New Roman" w:cs="Times New Roman"/>
        </w:rPr>
      </w:pPr>
    </w:p>
    <w:p w14:paraId="2293CC2F" w14:textId="50EBAF6A" w:rsidR="00504C4D" w:rsidRPr="00FD33A1" w:rsidRDefault="00504C4D" w:rsidP="00CF2606">
      <w:pPr>
        <w:tabs>
          <w:tab w:val="left" w:pos="5103"/>
        </w:tabs>
        <w:spacing w:line="360" w:lineRule="auto"/>
        <w:rPr>
          <w:rFonts w:ascii="Times New Roman" w:hAnsi="Times New Roman" w:cs="Times New Roman"/>
        </w:rPr>
      </w:pPr>
      <w:r w:rsidRPr="00FD33A1">
        <w:rPr>
          <w:rFonts w:ascii="Times New Roman" w:hAnsi="Times New Roman" w:cs="Times New Roman"/>
        </w:rPr>
        <w:t xml:space="preserve">We understand bargaining and negotiation as broad concepts which include an </w:t>
      </w:r>
      <w:r w:rsidR="009D79B3" w:rsidRPr="00FD33A1">
        <w:rPr>
          <w:rFonts w:ascii="Times New Roman" w:hAnsi="Times New Roman" w:cs="Times New Roman"/>
        </w:rPr>
        <w:t>‘</w:t>
      </w:r>
      <w:r w:rsidRPr="00FD33A1">
        <w:rPr>
          <w:rFonts w:ascii="Times New Roman" w:hAnsi="Times New Roman" w:cs="Times New Roman"/>
        </w:rPr>
        <w:t>exchange of verbal as well as non-verbal communication, formal as well as informal exchanges</w:t>
      </w:r>
      <w:r w:rsidR="009D79B3" w:rsidRPr="00FD33A1">
        <w:rPr>
          <w:rFonts w:ascii="Times New Roman" w:hAnsi="Times New Roman" w:cs="Times New Roman"/>
        </w:rPr>
        <w:t>’</w:t>
      </w:r>
      <w:r w:rsidR="00E54184" w:rsidRPr="00FD33A1">
        <w:rPr>
          <w:rFonts w:ascii="Times New Roman" w:hAnsi="Times New Roman" w:cs="Times New Roman"/>
        </w:rPr>
        <w:t xml:space="preserve"> </w:t>
      </w:r>
      <w:r w:rsidR="00E54184" w:rsidRPr="00FD33A1">
        <w:rPr>
          <w:rFonts w:ascii="Times New Roman" w:hAnsi="Times New Roman" w:cs="Times New Roman"/>
        </w:rPr>
        <w:fldChar w:fldCharType="begin" w:fldLock="1"/>
      </w:r>
      <w:r w:rsidR="00E54184" w:rsidRPr="00FD33A1">
        <w:rPr>
          <w:rFonts w:ascii="Times New Roman" w:hAnsi="Times New Roman" w:cs="Times New Roman"/>
        </w:rPr>
        <w:instrText>ADDIN CSL_CITATION {"citationItems":[{"id":"ITEM-1","itemData":{"DOI":"10.1080/13501760010014894","ISSN":"14664429","author":[{"dropping-particle":"","family":"Elgström","given":"Ole","non-dropping-particle":"","parse-names":false,"suffix":""},{"dropping-particle":"","family":"Smith","given":"Michael","non-dropping-particle":"","parse-names":false,"suffix":""}],"container-title":"Journal of European Public Policy","id":"ITEM-1","issued":{"date-parts":[["2000"]]},"title":"Introduction: Negotiation and policy-making in the european union – processes, system and order","type":"article"},"locator":"2","uris":["http://www.mendeley.com/documents/?uuid=e1565770-0de3-4f0c-a7aa-8540fbd28ab4"]}],"mendeley":{"formattedCitation":"(Elgström &amp; Smith, 2000, p. 2)","plainTextFormattedCitation":"(Elgström &amp; Smith, 2000, p. 2)","previouslyFormattedCitation":"(Elgström &amp; Smith, 2000, p. 2)"},"properties":{"noteIndex":0},"schema":"https://github.com/citation-style-language/schema/raw/master/csl-citation.json"}</w:instrText>
      </w:r>
      <w:r w:rsidR="00E54184" w:rsidRPr="00FD33A1">
        <w:rPr>
          <w:rFonts w:ascii="Times New Roman" w:hAnsi="Times New Roman" w:cs="Times New Roman"/>
        </w:rPr>
        <w:fldChar w:fldCharType="separate"/>
      </w:r>
      <w:r w:rsidR="00E54184" w:rsidRPr="00FD33A1">
        <w:rPr>
          <w:rFonts w:ascii="Times New Roman" w:hAnsi="Times New Roman" w:cs="Times New Roman"/>
          <w:noProof/>
        </w:rPr>
        <w:t>(Elgström &amp; Smith, 2000, p. 2)</w:t>
      </w:r>
      <w:r w:rsidR="00E54184" w:rsidRPr="00FD33A1">
        <w:rPr>
          <w:rFonts w:ascii="Times New Roman" w:hAnsi="Times New Roman" w:cs="Times New Roman"/>
        </w:rPr>
        <w:fldChar w:fldCharType="end"/>
      </w:r>
      <w:r w:rsidRPr="00FD33A1">
        <w:rPr>
          <w:rFonts w:ascii="Times New Roman" w:hAnsi="Times New Roman" w:cs="Times New Roman"/>
        </w:rPr>
        <w:t xml:space="preserve">. </w:t>
      </w:r>
      <w:r w:rsidRPr="00FD33A1">
        <w:rPr>
          <w:rFonts w:ascii="Times New Roman" w:hAnsi="Times New Roman" w:cs="Times New Roman"/>
          <w:color w:val="000000" w:themeColor="text1"/>
        </w:rPr>
        <w:t xml:space="preserve">Due to a number of localised and context specific changes occurring in Indian society over the last decades, the relationship between Dalit labourers and upper caste landowners – which is the focus of our empirical material – has been transformed from one in which the former, in accordance with traditionally entrenched caste norms were </w:t>
      </w:r>
      <w:r w:rsidRPr="00FD33A1">
        <w:rPr>
          <w:rFonts w:ascii="Times New Roman" w:hAnsi="Times New Roman" w:cs="Times New Roman"/>
          <w:i/>
          <w:color w:val="000000" w:themeColor="text1"/>
        </w:rPr>
        <w:t>expected</w:t>
      </w:r>
      <w:r w:rsidRPr="00FD33A1">
        <w:rPr>
          <w:rFonts w:ascii="Times New Roman" w:hAnsi="Times New Roman" w:cs="Times New Roman"/>
          <w:color w:val="000000" w:themeColor="text1"/>
        </w:rPr>
        <w:t xml:space="preserve"> to be at complete disposal of the latter, to one which reflects more mutual dependency. To an extent, relations between castes have always been mutually dependant – this is what the </w:t>
      </w:r>
      <w:proofErr w:type="spellStart"/>
      <w:r w:rsidRPr="00FD33A1">
        <w:rPr>
          <w:rFonts w:ascii="Times New Roman" w:hAnsi="Times New Roman" w:cs="Times New Roman"/>
          <w:i/>
          <w:color w:val="000000" w:themeColor="text1"/>
        </w:rPr>
        <w:t>jajmani</w:t>
      </w:r>
      <w:proofErr w:type="spellEnd"/>
      <w:r w:rsidRPr="00FD33A1">
        <w:rPr>
          <w:rFonts w:ascii="Times New Roman" w:hAnsi="Times New Roman" w:cs="Times New Roman"/>
          <w:color w:val="000000" w:themeColor="text1"/>
        </w:rPr>
        <w:t xml:space="preserve"> system was based upon.</w:t>
      </w:r>
      <w:r w:rsidRPr="00FD33A1">
        <w:rPr>
          <w:rStyle w:val="Rimandonotaapidipagina"/>
          <w:rFonts w:ascii="Times New Roman" w:hAnsi="Times New Roman" w:cs="Times New Roman"/>
          <w:color w:val="000000" w:themeColor="text1"/>
        </w:rPr>
        <w:footnoteReference w:id="6"/>
      </w:r>
      <w:r w:rsidRPr="00FD33A1">
        <w:rPr>
          <w:rFonts w:ascii="Times New Roman" w:hAnsi="Times New Roman" w:cs="Times New Roman"/>
          <w:color w:val="000000" w:themeColor="text1"/>
        </w:rPr>
        <w:t xml:space="preserve"> But in the last few decades, the nature of this dependency has changed from being based less on an adherence to traditional caste norms to one of more economic interdependence. In this situation, the landed elites are left with little choice but to accept evolving new norms that largely (but not entirely) reflect Dalits’ preferences, if they want to maintain their economic status, which in turn depends on the maintenance of harmonious relations with their labourers. These new norms, which are the result of a continuing negotiation process between the landed elites and the Dalit labourers, we argue, further weaken the former’s established power position in the rural landscape. Taken together, these negotiations constitute what </w:t>
      </w:r>
      <w:proofErr w:type="spellStart"/>
      <w:r w:rsidRPr="00FD33A1">
        <w:rPr>
          <w:rFonts w:ascii="Times New Roman" w:hAnsi="Times New Roman" w:cs="Times New Roman"/>
          <w:color w:val="000000" w:themeColor="text1"/>
        </w:rPr>
        <w:t>Asef</w:t>
      </w:r>
      <w:proofErr w:type="spellEnd"/>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Bayat</w:t>
      </w:r>
      <w:proofErr w:type="spellEnd"/>
      <w:r w:rsidRPr="00FD33A1">
        <w:rPr>
          <w:rFonts w:ascii="Times New Roman" w:hAnsi="Times New Roman" w:cs="Times New Roman"/>
          <w:color w:val="000000" w:themeColor="text1"/>
        </w:rPr>
        <w:t xml:space="preserve"> refers to as ‘social nonmovements’, which he defines as the ‘collective actions of noncollective actors; they embody shared practices of large numbers of ordinary people whose fragmented but similar activities trigger much social change, even though these practices are rarely guided by an ideology or recognizable leaderships and organizations’ (</w:t>
      </w:r>
      <w:proofErr w:type="spellStart"/>
      <w:r w:rsidRPr="00FD33A1">
        <w:rPr>
          <w:rFonts w:ascii="Times New Roman" w:hAnsi="Times New Roman" w:cs="Times New Roman"/>
          <w:color w:val="000000" w:themeColor="text1"/>
        </w:rPr>
        <w:t>Bayat</w:t>
      </w:r>
      <w:proofErr w:type="spellEnd"/>
      <w:r w:rsidRPr="00FD33A1">
        <w:rPr>
          <w:rFonts w:ascii="Times New Roman" w:hAnsi="Times New Roman" w:cs="Times New Roman"/>
          <w:color w:val="000000" w:themeColor="text1"/>
        </w:rPr>
        <w:t xml:space="preserve"> 2013, p. 14). In the Indian context, the effect of these ‘nonmovements’ – along with broader processes of change such as rising educational levels, declining importance of agriculture as a source of wealth and status, deepening of democracy to cite a few – is the uneven but nevertheless significant transformation of rural India in general and in particular of the living conditions of the Dalits.</w:t>
      </w:r>
    </w:p>
    <w:p w14:paraId="1B0CFAB2"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BFA4D6A" w14:textId="1103FA3D"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Two additional remarks are in order. First, negotiations rarely involve collective action by the poor. Having said this, a clarification of the meaning of ‘collective action’ is important.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and Knight (1997, p. 2) express this lucidly: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by collective action we mean not just the usual large-scale interactions implied by the term but any activity in which two or more people gain benefits, otherwise unrealizable, from acting together</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When we state that collective action is rare, we mean it in the former sense; demonstrations, strikes, petitioning and other forms of overt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large-scale</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actions. But it is equally probable that these individual actions amount to subtle collective action in the latter sense. </w:t>
      </w:r>
    </w:p>
    <w:p w14:paraId="2C78B1AD"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D450F58" w14:textId="68E09F80"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Second, though, for analytical reasons, we have divided India’s rural society between ‘the rich’ and ‘the poor’, these are by no means homogeneous categories, as pointed above. For the purpose of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we will consider agricultural labourers with little or no land and who sell their labour to large farmers as ‘poor’; and upper or middle caste farmers who employ substantial numbers of labourers as ‘rich’. This has two major implications in the context of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First, the very nature of the relationship that is the main focus of our analysis – between lower caste agricultural labourers and middle/upper caste landowners – is exploitative and asymmetrical in nature. The former </w:t>
      </w:r>
      <w:proofErr w:type="gramStart"/>
      <w:r w:rsidRPr="00FD33A1">
        <w:rPr>
          <w:rFonts w:ascii="Times New Roman" w:hAnsi="Times New Roman" w:cs="Times New Roman"/>
          <w:color w:val="000000" w:themeColor="text1"/>
        </w:rPr>
        <w:t>sell</w:t>
      </w:r>
      <w:proofErr w:type="gramEnd"/>
      <w:r w:rsidRPr="00FD33A1">
        <w:rPr>
          <w:rFonts w:ascii="Times New Roman" w:hAnsi="Times New Roman" w:cs="Times New Roman"/>
          <w:color w:val="000000" w:themeColor="text1"/>
        </w:rPr>
        <w:t xml:space="preserve"> their labour to the latter who, therefore, are in an undoubtedly privileged position and we do not argue that this has gone through substantial changes. What has changed is how this (exploitative and asymmetrical) relationship is experienced in day-to-day interactions with some visible improvements in favour of the Dalits. Second, the fact that ‘the poor’ and ‘the rich’ are not homogenous categories has important repercussions on the possibility for collective action to emerge. As a number of scholars have pointed out, large-scale collective action is in fact rare in India – although definitely not absent</w:t>
      </w:r>
      <w:r w:rsidR="00E54184" w:rsidRPr="00FD33A1">
        <w:rPr>
          <w:rFonts w:ascii="Times New Roman" w:hAnsi="Times New Roman" w:cs="Times New Roman"/>
          <w:color w:val="000000" w:themeColor="text1"/>
        </w:rPr>
        <w:t xml:space="preserve"> </w:t>
      </w:r>
      <w:r w:rsidR="00E54184" w:rsidRPr="00FD33A1">
        <w:rPr>
          <w:rFonts w:ascii="Times New Roman" w:hAnsi="Times New Roman" w:cs="Times New Roman"/>
          <w:color w:val="000000" w:themeColor="text1"/>
        </w:rPr>
        <w:fldChar w:fldCharType="begin" w:fldLock="1"/>
      </w:r>
      <w:r w:rsidR="00E54184" w:rsidRPr="00FD33A1">
        <w:rPr>
          <w:rFonts w:ascii="Times New Roman" w:hAnsi="Times New Roman" w:cs="Times New Roman"/>
          <w:color w:val="000000" w:themeColor="text1"/>
        </w:rPr>
        <w:instrText>ADDIN CSL_CITATION {"citationItems":[{"id":"ITEM-1","itemData":{"ISSN":"0306-6150","author":[{"dropping-particle":"","family":"Lerche","given":"Jens","non-dropping-particle":"","parse-names":false,"suffix":""}],"container-title":"The Journal of Peasant Studies","id":"ITEM-1","issue":"2-3","issued":{"date-parts":[["1999"]]},"page":"182-241","publisher":"Taylor &amp; Francis","title":"Politics of the poor: Agricultural labourers and political transformations in Uttar Pradesh","type":"article-journal","volume":"26"},"uris":["http://www.mendeley.com/documents/?uuid=80df2248-c1e8-438f-b5d5-9871d23527e8"]},{"id":"ITEM-2","itemData":{"ISBN":"071908914X","author":[{"dropping-particle":"","family":"Pattenden","given":"Jonathan","non-dropping-particle":"","parse-names":false,"suffix":""}],"id":"ITEM-2","issued":{"date-parts":[["2016"]]},"publisher":"Manchester University Press","publisher-place":"Manchester","title":"Labour, state and society in rural India: A class-relational approach","type":"book"},"uris":["http://www.mendeley.com/documents/?uuid=80f7844a-02e4-4a30-9c90-5a10defb66ef"]}],"mendeley":{"formattedCitation":"(Lerche, 1999; Pattenden, 2016)","plainTextFormattedCitation":"(Lerche, 1999; Pattenden, 2016)","previouslyFormattedCitation":"(Lerche, 1999; Pattenden, 2016)"},"properties":{"noteIndex":0},"schema":"https://github.com/citation-style-language/schema/raw/master/csl-citation.json"}</w:instrText>
      </w:r>
      <w:r w:rsidR="00E54184" w:rsidRPr="00FD33A1">
        <w:rPr>
          <w:rFonts w:ascii="Times New Roman" w:hAnsi="Times New Roman" w:cs="Times New Roman"/>
          <w:color w:val="000000" w:themeColor="text1"/>
        </w:rPr>
        <w:fldChar w:fldCharType="separate"/>
      </w:r>
      <w:r w:rsidR="00E54184" w:rsidRPr="00FD33A1">
        <w:rPr>
          <w:rFonts w:ascii="Times New Roman" w:hAnsi="Times New Roman" w:cs="Times New Roman"/>
          <w:noProof/>
          <w:color w:val="000000" w:themeColor="text1"/>
        </w:rPr>
        <w:t>(Lerche, 1999; Pattenden, 2016)</w:t>
      </w:r>
      <w:r w:rsidR="00E54184"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The difficulty mainly stems from the multiple lines of fragmentation that divide the poor, especially caste and gender (</w:t>
      </w:r>
      <w:proofErr w:type="spellStart"/>
      <w:r w:rsidRPr="00FD33A1">
        <w:rPr>
          <w:rFonts w:ascii="Times New Roman" w:hAnsi="Times New Roman" w:cs="Times New Roman"/>
          <w:color w:val="000000" w:themeColor="text1"/>
        </w:rPr>
        <w:t>Harriss</w:t>
      </w:r>
      <w:proofErr w:type="spellEnd"/>
      <w:r w:rsidRPr="00FD33A1">
        <w:rPr>
          <w:rFonts w:ascii="Times New Roman" w:hAnsi="Times New Roman" w:cs="Times New Roman"/>
          <w:color w:val="000000" w:themeColor="text1"/>
        </w:rPr>
        <w:t xml:space="preserve">-White &amp; </w:t>
      </w:r>
      <w:proofErr w:type="spellStart"/>
      <w:r w:rsidRPr="00FD33A1">
        <w:rPr>
          <w:rFonts w:ascii="Times New Roman" w:hAnsi="Times New Roman" w:cs="Times New Roman"/>
          <w:color w:val="000000" w:themeColor="text1"/>
        </w:rPr>
        <w:t>Gooptu</w:t>
      </w:r>
      <w:proofErr w:type="spellEnd"/>
      <w:r w:rsidRPr="00FD33A1">
        <w:rPr>
          <w:rFonts w:ascii="Times New Roman" w:hAnsi="Times New Roman" w:cs="Times New Roman"/>
          <w:color w:val="000000" w:themeColor="text1"/>
        </w:rPr>
        <w:t xml:space="preserve"> 2001). Furthermore, the literature has highlighted a number of other divisions that constrain the emergence of collective action. First, it is at least doubtful whether India’s poor can be seen as a class ‘in itself’ or even as ‘classes of labour’</w:t>
      </w:r>
      <w:r w:rsidR="00E54184" w:rsidRPr="00FD33A1">
        <w:rPr>
          <w:rFonts w:ascii="Times New Roman" w:hAnsi="Times New Roman" w:cs="Times New Roman"/>
          <w:color w:val="000000" w:themeColor="text1"/>
        </w:rPr>
        <w:t xml:space="preserve"> </w:t>
      </w:r>
      <w:r w:rsidR="00E54184" w:rsidRPr="00FD33A1">
        <w:rPr>
          <w:rFonts w:ascii="Times New Roman" w:hAnsi="Times New Roman" w:cs="Times New Roman"/>
          <w:color w:val="000000" w:themeColor="text1"/>
        </w:rPr>
        <w:fldChar w:fldCharType="begin" w:fldLock="1"/>
      </w:r>
      <w:r w:rsidR="000B2C6F" w:rsidRPr="00FD33A1">
        <w:rPr>
          <w:rFonts w:ascii="Times New Roman" w:hAnsi="Times New Roman" w:cs="Times New Roman"/>
          <w:color w:val="000000" w:themeColor="text1"/>
        </w:rPr>
        <w:instrText>ADDIN CSL_CITATION {"citationItems":[{"id":"ITEM-1","itemData":{"ISBN":"1565493567","author":[{"dropping-particle":"","family":"Bernstein","given":"Henry","non-dropping-particle":"","parse-names":false,"suffix":""}],"id":"ITEM-1","issued":{"date-parts":[["2010"]]},"publisher":"Kumarian Press","title":"Class dynamics of agrarian change","type":"book","volume":"1"},"uris":["http://www.mendeley.com/documents/?uuid=505c1844-8f8b-4be6-a63e-20ba929d0adc"]}],"mendeley":{"formattedCitation":"(Bernstein, 2010)","plainTextFormattedCitation":"(Bernstein, 2010)","previouslyFormattedCitation":"(Bernstein, 2010)"},"properties":{"noteIndex":0},"schema":"https://github.com/citation-style-language/schema/raw/master/csl-citation.json"}</w:instrText>
      </w:r>
      <w:r w:rsidR="00E54184" w:rsidRPr="00FD33A1">
        <w:rPr>
          <w:rFonts w:ascii="Times New Roman" w:hAnsi="Times New Roman" w:cs="Times New Roman"/>
          <w:color w:val="000000" w:themeColor="text1"/>
        </w:rPr>
        <w:fldChar w:fldCharType="separate"/>
      </w:r>
      <w:r w:rsidR="00E54184" w:rsidRPr="00FD33A1">
        <w:rPr>
          <w:rFonts w:ascii="Times New Roman" w:hAnsi="Times New Roman" w:cs="Times New Roman"/>
          <w:noProof/>
          <w:color w:val="000000" w:themeColor="text1"/>
        </w:rPr>
        <w:t>(Bernstein, 2010)</w:t>
      </w:r>
      <w:r w:rsidR="00E54184"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with enough interests in common to trigger collective class action</w:t>
      </w:r>
      <w:r w:rsidR="000B2C6F" w:rsidRPr="00FD33A1">
        <w:rPr>
          <w:rFonts w:ascii="Times New Roman" w:hAnsi="Times New Roman" w:cs="Times New Roman"/>
          <w:color w:val="000000" w:themeColor="text1"/>
        </w:rPr>
        <w:t xml:space="preserve"> </w:t>
      </w:r>
      <w:r w:rsidR="000B2C6F" w:rsidRPr="00FD33A1">
        <w:rPr>
          <w:rFonts w:ascii="Times New Roman" w:hAnsi="Times New Roman" w:cs="Times New Roman"/>
          <w:color w:val="000000" w:themeColor="text1"/>
        </w:rPr>
        <w:fldChar w:fldCharType="begin" w:fldLock="1"/>
      </w:r>
      <w:r w:rsidR="000B2C6F" w:rsidRPr="00FD33A1">
        <w:rPr>
          <w:rFonts w:ascii="Times New Roman" w:hAnsi="Times New Roman" w:cs="Times New Roman"/>
          <w:color w:val="000000" w:themeColor="text1"/>
        </w:rPr>
        <w:instrText>ADDIN CSL_CITATION {"citationItems":[{"id":"ITEM-1","itemData":{"ISSN":"1467-7660","author":[{"dropping-particle":"","family":"Harriss‐White","given":"Barbara","non-dropping-particle":"","parse-names":false,"suffix":""}],"container-title":"Development and Change","id":"ITEM-1","issue":"5","issued":{"date-parts":[["2014"]]},"page":"981-1000","publisher":"Wiley Online Library","title":"Labour and petty production","type":"article-journal","volume":"45"},"uris":["http://www.mendeley.com/documents/?uuid=1c0a66cd-e285-469d-ad29-0ed165581706"]}],"mendeley":{"formattedCitation":"(Harriss‐White, 2014)","plainTextFormattedCitation":"(Harriss‐White, 2014)","previouslyFormattedCitation":"(Harriss‐White, 2014)"},"properties":{"noteIndex":0},"schema":"https://github.com/citation-style-language/schema/raw/master/csl-citation.json"}</w:instrText>
      </w:r>
      <w:r w:rsidR="000B2C6F" w:rsidRPr="00FD33A1">
        <w:rPr>
          <w:rFonts w:ascii="Times New Roman" w:hAnsi="Times New Roman" w:cs="Times New Roman"/>
          <w:color w:val="000000" w:themeColor="text1"/>
        </w:rPr>
        <w:fldChar w:fldCharType="separate"/>
      </w:r>
      <w:r w:rsidR="000B2C6F" w:rsidRPr="00FD33A1">
        <w:rPr>
          <w:rFonts w:ascii="Times New Roman" w:hAnsi="Times New Roman" w:cs="Times New Roman"/>
          <w:noProof/>
          <w:color w:val="000000" w:themeColor="text1"/>
        </w:rPr>
        <w:t>(Harriss‐White, 2014)</w:t>
      </w:r>
      <w:r w:rsidR="000B2C6F"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Second, India’s rural society is often divided along inter-class and inter-caste factional lines</w:t>
      </w:r>
      <w:r w:rsidR="000B2C6F" w:rsidRPr="00FD33A1">
        <w:rPr>
          <w:rFonts w:ascii="Times New Roman" w:hAnsi="Times New Roman" w:cs="Times New Roman"/>
          <w:color w:val="000000" w:themeColor="text1"/>
        </w:rPr>
        <w:t xml:space="preserve"> </w:t>
      </w:r>
      <w:r w:rsidR="000B2C6F" w:rsidRPr="00FD33A1">
        <w:rPr>
          <w:rFonts w:ascii="Times New Roman" w:hAnsi="Times New Roman" w:cs="Times New Roman"/>
          <w:color w:val="000000" w:themeColor="text1"/>
        </w:rPr>
        <w:fldChar w:fldCharType="begin" w:fldLock="1"/>
      </w:r>
      <w:r w:rsidR="000B2C6F" w:rsidRPr="00FD33A1">
        <w:rPr>
          <w:rFonts w:ascii="Times New Roman" w:hAnsi="Times New Roman" w:cs="Times New Roman"/>
          <w:color w:val="000000" w:themeColor="text1"/>
        </w:rPr>
        <w:instrText>ADDIN CSL_CITATION {"citationItems":[{"id":"ITEM-1","itemData":{"author":[{"dropping-particle":"","family":"Jodhka","given":"Surinder S","non-dropping-particle":"","parse-names":false,"suffix":""}],"container-title":"The Changing Village in India - Insights from Longitudinal Research","editor":[{"dropping-particle":"","family":"Himanshu","given":"H","non-dropping-particle":"","parse-names":false,"suffix":""},{"dropping-particle":"","family":"Jha","given":"Praveen","non-dropping-particle":"","parse-names":false,"suffix":""},{"dropping-particle":"","family":"Rodgers","given":"Gerry","non-dropping-particle":"","parse-names":false,"suffix":""}],"id":"ITEM-1","issued":{"date-parts":[["2016"]]},"publisher":"Oxford University Press","publisher-place":"New Delhi","title":"A Forgotten 'Revolution': Revisiting Rural Life and Agrarian Change in Haryana","type":"chapter"},"uris":["http://www.mendeley.com/documents/?uuid=7992000f-aad3-4d75-bca1-2b45f6f49776"]}],"mendeley":{"formattedCitation":"(Jodhka, 2016)","plainTextFormattedCitation":"(Jodhka, 2016)","previouslyFormattedCitation":"(Jodhka, 2016)"},"properties":{"noteIndex":0},"schema":"https://github.com/citation-style-language/schema/raw/master/csl-citation.json"}</w:instrText>
      </w:r>
      <w:r w:rsidR="000B2C6F" w:rsidRPr="00FD33A1">
        <w:rPr>
          <w:rFonts w:ascii="Times New Roman" w:hAnsi="Times New Roman" w:cs="Times New Roman"/>
          <w:color w:val="000000" w:themeColor="text1"/>
        </w:rPr>
        <w:fldChar w:fldCharType="separate"/>
      </w:r>
      <w:r w:rsidR="000B2C6F" w:rsidRPr="00FD33A1">
        <w:rPr>
          <w:rFonts w:ascii="Times New Roman" w:hAnsi="Times New Roman" w:cs="Times New Roman"/>
          <w:noProof/>
          <w:color w:val="000000" w:themeColor="text1"/>
        </w:rPr>
        <w:t>(Jodhka, 2016)</w:t>
      </w:r>
      <w:r w:rsidR="000B2C6F"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Third, poor people establish contacts and alliances – again, across caste and class – with a variety of actors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{"citationItems":[{"id":"ITEM-1","itemData":{"ISSN":"0143-6597","author":[{"dropping-particle":"","family":"Hughes","given":"Caroline","non-dropping-particle":"","parse-names":false,"suffix":""}],"container-title":"Third World Quarterly","id":"ITEM-1","issue":"5","issued":{"date-parts":[["2015"]]},"page":"908-928","publisher":"Taylor &amp; Francis","title":"Poor people’s politics in East Timor","type":"article-journal","volume":"36"},"uris":["http://www.mendeley.com/documents/?uuid=12d3eb13-9bfb-4563-bb42-31f66eba2a80"]}],"mendeley":{"formattedCitation":"(Hughes, 2015)","plainTextFormattedCitation":"(Hughes, 2015)","previouslyFormattedCitation":"(Hughes, 2015)"},"properties":{"noteIndex":0},"schema":"https://github.com/citation-style-language/schema/raw/master/csl-citation.json"}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(Hughes, 2015)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 landowners, bureaucrats, fixers, NGO representatives, politicians– who can provide them access to public services, </w:t>
      </w:r>
      <w:r w:rsidRPr="00FD33A1">
        <w:rPr>
          <w:rFonts w:ascii="Times New Roman" w:hAnsi="Times New Roman" w:cs="Times New Roman"/>
          <w:color w:val="000000" w:themeColor="text1"/>
        </w:rPr>
        <w:lastRenderedPageBreak/>
        <w:t xml:space="preserve">loans, work, help with the police and so forth – surely not as an act of benevolence, but to exercise control over them. As it is often crucial to maintain these contacts and alliances – even if this means perpetuating ‘a political system in which inequalities, personal relationships and dependencies are endemic’ </w:t>
      </w:r>
      <w:r w:rsidR="000B2C6F" w:rsidRPr="00FD33A1">
        <w:rPr>
          <w:rFonts w:ascii="Times New Roman" w:hAnsi="Times New Roman" w:cs="Times New Roman"/>
          <w:color w:val="000000" w:themeColor="text1"/>
        </w:rPr>
        <w:fldChar w:fldCharType="begin" w:fldLock="1"/>
      </w:r>
      <w:r w:rsidR="000B2C6F" w:rsidRPr="00FD33A1">
        <w:rPr>
          <w:rFonts w:ascii="Times New Roman" w:hAnsi="Times New Roman" w:cs="Times New Roman"/>
          <w:color w:val="000000" w:themeColor="text1"/>
        </w:rPr>
        <w:instrText>ADDIN CSL_CITATION {"citationItems":[{"id":"ITEM-1","itemData":{"ISSN":"0306-6150","author":[{"dropping-particle":"","family":"Kerkvliet","given":"Benedict J","non-dropping-particle":"","parse-names":false,"suffix":""}],"container-title":"The Journal of Peasant Studies","id":"ITEM-1","issue":"1","issued":{"date-parts":[["2009"]]},"page":"227-243","publisher":"Taylor &amp; Francis","title":"Everyday politics in peasant societies (and ours)","type":"article-journal","volume":"36"},"locator":"236","uris":["http://www.mendeley.com/documents/?uuid=cfc8a202-30c7-4e59-be45-77db0d543c5c"]}],"mendeley":{"formattedCitation":"(Kerkvliet, 2009, p. 236)","plainTextFormattedCitation":"(Kerkvliet, 2009, p. 236)","previouslyFormattedCitation":"(Kerkvliet, 2009, p. 236)"},"properties":{"noteIndex":0},"schema":"https://github.com/citation-style-language/schema/raw/master/csl-citation.json"}</w:instrText>
      </w:r>
      <w:r w:rsidR="000B2C6F" w:rsidRPr="00FD33A1">
        <w:rPr>
          <w:rFonts w:ascii="Times New Roman" w:hAnsi="Times New Roman" w:cs="Times New Roman"/>
          <w:color w:val="000000" w:themeColor="text1"/>
        </w:rPr>
        <w:fldChar w:fldCharType="separate"/>
      </w:r>
      <w:r w:rsidR="000B2C6F" w:rsidRPr="00FD33A1">
        <w:rPr>
          <w:rFonts w:ascii="Times New Roman" w:hAnsi="Times New Roman" w:cs="Times New Roman"/>
          <w:noProof/>
          <w:color w:val="000000" w:themeColor="text1"/>
        </w:rPr>
        <w:t>(Kerkvliet, 2009, p. 236)</w:t>
      </w:r>
      <w:r w:rsidR="000B2C6F"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  poor people see the option of explicitly antagonising someone – for example by joining a collective protest, or expressing solidarity with a fellow poor person – as the last resort. In other words, breaking contact with members of the elites is often seen as a cost that poor people cannot afford to make. Fourth, many poor people do not completely reject the ideological beliefs that underpin the unjust social order, in particular the caste system. Dalits replicate the hierarchy of the caste system by ranking Dalit castes according to the same criteria of ‘highness and lowness, purity and impurity, super-ordination and subordination’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{"citationItems":[{"id":"ITEM-1","itemData":{"author":[{"dropping-particle":"","family":"Moffat","given":"Michael","non-dropping-particle":"","parse-names":false,"suffix":""}],"id":"ITEM-1","issued":{"date-parts":[["1979"]]},"publisher":"Princeton University Press, Princeton","title":"An Untouchable Community in India","type":"article"},"locator":"98","uris":["http://www.mendeley.com/documents/?uuid=3e99559c-7bbd-4430-aa19-a4396d1bddb2"]}],"mendeley":{"formattedCitation":"(Moffat, 1979, p. 98)","plainTextFormattedCitation":"(Moffat, 1979, p. 98)","previouslyFormattedCitation":"(Moffat, 1979, p. 98)"},"properties":{"noteIndex":0},"schema":"https://github.com/citation-style-language/schema/raw/master/csl-citation.json"}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(Moffat, 1979, p. 98)</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While we disagree with </w:t>
      </w:r>
      <w:proofErr w:type="spellStart"/>
      <w:r w:rsidRPr="00FD33A1">
        <w:rPr>
          <w:rFonts w:ascii="Times New Roman" w:hAnsi="Times New Roman" w:cs="Times New Roman"/>
          <w:color w:val="000000" w:themeColor="text1"/>
        </w:rPr>
        <w:t>Moffat</w:t>
      </w:r>
      <w:proofErr w:type="spellEnd"/>
      <w:r w:rsidRPr="00FD33A1">
        <w:rPr>
          <w:rFonts w:ascii="Times New Roman" w:hAnsi="Times New Roman" w:cs="Times New Roman"/>
          <w:color w:val="000000" w:themeColor="text1"/>
        </w:rPr>
        <w:t xml:space="preserve"> that this implies ‘a deep cultural consensus on the cognitive and evaluative assumptions of the system as a whole’, the imitation of upper castes’ practices does limit the ability of the Dalits to contest collectively such practices. Across our fieldwork locations, we found Dalit castes (Malas in AP, Chamars in UP) practicing untouchability towards other Dalit castes (the </w:t>
      </w:r>
      <w:proofErr w:type="spellStart"/>
      <w:r w:rsidRPr="00FD33A1">
        <w:rPr>
          <w:rFonts w:ascii="Times New Roman" w:hAnsi="Times New Roman" w:cs="Times New Roman"/>
          <w:color w:val="000000" w:themeColor="text1"/>
        </w:rPr>
        <w:t>Madigas</w:t>
      </w:r>
      <w:proofErr w:type="spellEnd"/>
      <w:r w:rsidRPr="00FD33A1">
        <w:rPr>
          <w:rFonts w:ascii="Times New Roman" w:hAnsi="Times New Roman" w:cs="Times New Roman"/>
          <w:color w:val="000000" w:themeColor="text1"/>
        </w:rPr>
        <w:t xml:space="preserve"> (AP), </w:t>
      </w:r>
      <w:proofErr w:type="spellStart"/>
      <w:r w:rsidRPr="00FD33A1">
        <w:rPr>
          <w:rFonts w:ascii="Times New Roman" w:hAnsi="Times New Roman" w:cs="Times New Roman"/>
          <w:color w:val="000000" w:themeColor="text1"/>
        </w:rPr>
        <w:t>Ati</w:t>
      </w:r>
      <w:proofErr w:type="spellEnd"/>
      <w:r w:rsidRPr="00FD33A1">
        <w:rPr>
          <w:rFonts w:ascii="Times New Roman" w:hAnsi="Times New Roman" w:cs="Times New Roman"/>
          <w:color w:val="000000" w:themeColor="text1"/>
        </w:rPr>
        <w:t>-Dalits (UP), a very common practice throughout India.</w:t>
      </w:r>
    </w:p>
    <w:p w14:paraId="4D6A601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4F5F468"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Given all these constraints to collective action it is not surprising that much social change in India is happening through individualized or small-groups everyday actions, which builds upon broader processes of change. It is a way to extract tangible benefits at a small cost.</w:t>
      </w:r>
    </w:p>
    <w:p w14:paraId="6AADF24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E3465F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B39465F" w14:textId="30988974" w:rsidR="00504C4D" w:rsidRPr="00FD33A1" w:rsidRDefault="009D79B3" w:rsidP="00CF2606">
      <w:pPr>
        <w:tabs>
          <w:tab w:val="left" w:pos="5103"/>
        </w:tabs>
        <w:spacing w:line="360" w:lineRule="auto"/>
        <w:rPr>
          <w:rFonts w:ascii="Times New Roman" w:hAnsi="Times New Roman" w:cs="Times New Roman"/>
          <w:b/>
          <w:bCs/>
          <w:color w:val="000000" w:themeColor="text1"/>
        </w:rPr>
      </w:pPr>
      <w:r w:rsidRPr="00FD33A1">
        <w:rPr>
          <w:rFonts w:ascii="Times New Roman" w:hAnsi="Times New Roman" w:cs="Times New Roman"/>
          <w:b/>
          <w:bCs/>
          <w:color w:val="000000" w:themeColor="text1"/>
        </w:rPr>
        <w:t>METHODOLOGY</w:t>
      </w:r>
    </w:p>
    <w:p w14:paraId="4F4D6B79"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6820ED4D" w14:textId="7B375203"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argument is empirically supported by ethnographic work that the three authors conducted in four periods between January 2016 and February 2018 in the state of Andhra Pradesh (AP), in South India and the state of Uttar Pradesh (UP), in North India. We spent about 20 weeks in the field, visiting four villages (two in each state). The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also builds on fieldwork conducted by the first author in AP since 2012. We conducted fieldwork in two districts in each state: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Penukonda</w:t>
      </w:r>
      <w:proofErr w:type="spellEnd"/>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mandal</w:t>
      </w:r>
      <w:proofErr w:type="spellEnd"/>
      <w:r w:rsidRPr="00FD33A1">
        <w:rPr>
          <w:rFonts w:ascii="Times New Roman" w:hAnsi="Times New Roman" w:cs="Times New Roman"/>
          <w:color w:val="000000" w:themeColor="text1"/>
        </w:rPr>
        <w:t>) and Guntur (</w:t>
      </w:r>
      <w:proofErr w:type="spellStart"/>
      <w:r w:rsidRPr="00FD33A1">
        <w:rPr>
          <w:rFonts w:ascii="Times New Roman" w:hAnsi="Times New Roman" w:cs="Times New Roman"/>
          <w:color w:val="000000" w:themeColor="text1"/>
        </w:rPr>
        <w:t>Bapatla</w:t>
      </w:r>
      <w:proofErr w:type="spellEnd"/>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mandal</w:t>
      </w:r>
      <w:proofErr w:type="spellEnd"/>
      <w:r w:rsidRPr="00FD33A1">
        <w:rPr>
          <w:rFonts w:ascii="Times New Roman" w:hAnsi="Times New Roman" w:cs="Times New Roman"/>
          <w:color w:val="000000" w:themeColor="text1"/>
        </w:rPr>
        <w:t xml:space="preserve">) in AP; </w:t>
      </w:r>
      <w:r w:rsidRPr="00FD33A1">
        <w:rPr>
          <w:rFonts w:ascii="Times New Roman" w:hAnsi="Times New Roman" w:cs="Times New Roman"/>
          <w:color w:val="000000" w:themeColor="text1"/>
        </w:rPr>
        <w:lastRenderedPageBreak/>
        <w:t>and Fatehpur (</w:t>
      </w:r>
      <w:proofErr w:type="spellStart"/>
      <w:r w:rsidRPr="00FD33A1">
        <w:rPr>
          <w:rFonts w:ascii="Times New Roman" w:hAnsi="Times New Roman" w:cs="Times New Roman"/>
          <w:color w:val="000000" w:themeColor="text1"/>
        </w:rPr>
        <w:t>Malwan</w:t>
      </w:r>
      <w:proofErr w:type="spellEnd"/>
      <w:r w:rsidRPr="00FD33A1">
        <w:rPr>
          <w:rFonts w:ascii="Times New Roman" w:hAnsi="Times New Roman" w:cs="Times New Roman"/>
          <w:color w:val="000000" w:themeColor="text1"/>
        </w:rPr>
        <w:t xml:space="preserve"> block</w:t>
      </w:r>
      <w:r w:rsidRPr="00FD33A1">
        <w:rPr>
          <w:rStyle w:val="Rimandonotaapidipagina"/>
          <w:rFonts w:ascii="Times New Roman" w:hAnsi="Times New Roman" w:cs="Times New Roman"/>
          <w:color w:val="000000" w:themeColor="text1"/>
        </w:rPr>
        <w:footnoteReference w:id="7"/>
      </w:r>
      <w:r w:rsidRPr="00FD33A1">
        <w:rPr>
          <w:rFonts w:ascii="Times New Roman" w:hAnsi="Times New Roman" w:cs="Times New Roman"/>
          <w:color w:val="000000" w:themeColor="text1"/>
        </w:rPr>
        <w:t>) and Jhansi (</w:t>
      </w:r>
      <w:proofErr w:type="spellStart"/>
      <w:r w:rsidRPr="00FD33A1">
        <w:rPr>
          <w:rFonts w:ascii="Times New Roman" w:hAnsi="Times New Roman" w:cs="Times New Roman"/>
          <w:color w:val="000000" w:themeColor="text1"/>
        </w:rPr>
        <w:t>Babina</w:t>
      </w:r>
      <w:proofErr w:type="spellEnd"/>
      <w:r w:rsidRPr="00FD33A1">
        <w:rPr>
          <w:rFonts w:ascii="Times New Roman" w:hAnsi="Times New Roman" w:cs="Times New Roman"/>
          <w:color w:val="000000" w:themeColor="text1"/>
        </w:rPr>
        <w:t xml:space="preserve"> block) in UP. The districts were chosen to reflect a broad spectrum of poor people’s living conditions in general and Dalits in particular: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and Fatehpur have low Human Development Indicators (HDIs) and high levels of violence against SCs;</w:t>
      </w:r>
      <w:r w:rsidRPr="00FD33A1">
        <w:rPr>
          <w:rStyle w:val="Rimandonotaapidipagina"/>
          <w:rFonts w:ascii="Times New Roman" w:hAnsi="Times New Roman" w:cs="Times New Roman"/>
          <w:color w:val="000000" w:themeColor="text1"/>
        </w:rPr>
        <w:footnoteReference w:id="8"/>
      </w:r>
      <w:r w:rsidRPr="00FD33A1">
        <w:rPr>
          <w:rFonts w:ascii="Times New Roman" w:hAnsi="Times New Roman" w:cs="Times New Roman"/>
          <w:color w:val="000000" w:themeColor="text1"/>
        </w:rPr>
        <w:t xml:space="preserve"> the opposite is true of Guntur and Jhansi. The latter two also have much better irrigation facilities. This has repercussions for the arguments developed in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since the presence of reliable irrigation infrastructure contributes to large farmers’ economic security and therefore to their wealth and status. The four villages where we conducted fieldwork were within commutable distance from medium-size urban centres, where non-farm working opportunities were available. This is an important feature of these villages that contributes to the changes in power relations between social groups that we analyse in the empirical section of the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had the villages been located in remote areas with no working opportunity other than farm labour, it is likely that the changes that we described would have been much less marked or even completely absent.  In our fieldwork sites, Dalits normally reside in areas which are separated from the rest of the village, with three exceptions: in one village in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two Dalit families – belonging to the Mala community, which consider themselves to be of a ritually higher status than the other large Dalit caste of AP, the </w:t>
      </w:r>
      <w:proofErr w:type="spellStart"/>
      <w:r w:rsidRPr="00FD33A1">
        <w:rPr>
          <w:rFonts w:ascii="Times New Roman" w:hAnsi="Times New Roman" w:cs="Times New Roman"/>
          <w:color w:val="000000" w:themeColor="text1"/>
        </w:rPr>
        <w:t>Madigas</w:t>
      </w:r>
      <w:proofErr w:type="spellEnd"/>
      <w:r w:rsidRPr="00FD33A1">
        <w:rPr>
          <w:rFonts w:ascii="Times New Roman" w:hAnsi="Times New Roman" w:cs="Times New Roman"/>
          <w:color w:val="000000" w:themeColor="text1"/>
        </w:rPr>
        <w:t xml:space="preserve"> – live in the main section of the village; and in a village in Guntur district, the </w:t>
      </w:r>
      <w:proofErr w:type="spellStart"/>
      <w:r w:rsidRPr="00FD33A1">
        <w:rPr>
          <w:rFonts w:ascii="Times New Roman" w:hAnsi="Times New Roman" w:cs="Times New Roman"/>
          <w:color w:val="000000" w:themeColor="text1"/>
        </w:rPr>
        <w:t>Madiga</w:t>
      </w:r>
      <w:proofErr w:type="spellEnd"/>
      <w:r w:rsidRPr="00FD33A1">
        <w:rPr>
          <w:rFonts w:ascii="Times New Roman" w:hAnsi="Times New Roman" w:cs="Times New Roman"/>
          <w:color w:val="000000" w:themeColor="text1"/>
        </w:rPr>
        <w:t xml:space="preserve"> community lives in an area which is separated from the other sections of the village, but it is entirely surrounded by houses where the Kammas live (one of AP’s dominant farming castes). Similarly in UP, in one village in Fatehpur district, the village Pradhan (head of the village) who was from the </w:t>
      </w:r>
      <w:proofErr w:type="gramStart"/>
      <w:r w:rsidRPr="00FD33A1">
        <w:rPr>
          <w:rFonts w:ascii="Times New Roman" w:hAnsi="Times New Roman" w:cs="Times New Roman"/>
          <w:color w:val="000000" w:themeColor="text1"/>
        </w:rPr>
        <w:t>SC  (</w:t>
      </w:r>
      <w:proofErr w:type="gramEnd"/>
      <w:r w:rsidRPr="00FD33A1">
        <w:rPr>
          <w:rFonts w:ascii="Times New Roman" w:hAnsi="Times New Roman" w:cs="Times New Roman"/>
          <w:color w:val="000000" w:themeColor="text1"/>
        </w:rPr>
        <w:t xml:space="preserve">Chamar) category, had her house in the upper caste (Thakur) part of the village. The rest of the Dalits live in the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harijan colony</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as referred to by research participants, located on the outskirts of the village characterised by semi-permanent house structures (</w:t>
      </w:r>
      <w:proofErr w:type="spellStart"/>
      <w:r w:rsidRPr="00FD33A1">
        <w:rPr>
          <w:rFonts w:ascii="Times New Roman" w:hAnsi="Times New Roman" w:cs="Times New Roman"/>
          <w:color w:val="000000" w:themeColor="text1"/>
        </w:rPr>
        <w:t>kucha</w:t>
      </w:r>
      <w:proofErr w:type="spellEnd"/>
      <w:r w:rsidRPr="00FD33A1">
        <w:rPr>
          <w:rFonts w:ascii="Times New Roman" w:hAnsi="Times New Roman" w:cs="Times New Roman"/>
          <w:color w:val="000000" w:themeColor="text1"/>
        </w:rPr>
        <w:t>), bad drainage facilities and poor local amenities.</w:t>
      </w:r>
    </w:p>
    <w:p w14:paraId="523C95D6" w14:textId="5259A2D2" w:rsidR="00504C4D" w:rsidRDefault="003414DF" w:rsidP="003414DF">
      <w:pPr>
        <w:tabs>
          <w:tab w:val="left" w:pos="1312"/>
        </w:tabs>
        <w:spacing w:line="360" w:lineRule="auto"/>
        <w:rPr>
          <w:rFonts w:ascii="Times New Roman" w:hAnsi="Times New Roman" w:cs="Times New Roman"/>
          <w:color w:val="000000" w:themeColor="text1"/>
        </w:rPr>
      </w:pPr>
      <w:r>
        <w:rPr>
          <w:rFonts w:ascii="Times New Roman" w:hAnsi="Times New Roman" w:cs="Times New Roman"/>
          <w:color w:val="000000" w:themeColor="text1"/>
        </w:rPr>
        <w:tab/>
      </w:r>
    </w:p>
    <w:p w14:paraId="53C8326C" w14:textId="0FBEBA60" w:rsidR="003414DF" w:rsidRPr="00FD33A1" w:rsidRDefault="003414DF" w:rsidP="003414DF">
      <w:pPr>
        <w:tabs>
          <w:tab w:val="left" w:pos="1312"/>
        </w:tabs>
        <w:spacing w:line="360" w:lineRule="auto"/>
        <w:rPr>
          <w:rFonts w:ascii="Times New Roman" w:hAnsi="Times New Roman" w:cs="Times New Roman"/>
          <w:color w:val="000000" w:themeColor="text1"/>
        </w:rPr>
      </w:pPr>
      <w:r>
        <w:rPr>
          <w:rFonts w:ascii="Times New Roman" w:hAnsi="Times New Roman" w:cs="Times New Roman"/>
          <w:color w:val="000000" w:themeColor="text1"/>
        </w:rPr>
        <w:t>[TABLE 1 HERE]</w:t>
      </w:r>
    </w:p>
    <w:p w14:paraId="20C7CE9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C4E066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lastRenderedPageBreak/>
        <w:t>We conducted about 260 interviews with farmers, NGO representatives, local politicians, and beneficiaries of anti-poverty policies (Table 2). In AP, we interviewed most of the Dalit population that permanently (non-migratory) resides</w:t>
      </w:r>
      <w:r w:rsidRPr="00FD33A1">
        <w:rPr>
          <w:rStyle w:val="Rimandonotaapidipagina"/>
          <w:rFonts w:ascii="Times New Roman" w:hAnsi="Times New Roman" w:cs="Times New Roman"/>
          <w:color w:val="000000" w:themeColor="text1"/>
        </w:rPr>
        <w:footnoteReference w:id="9"/>
      </w:r>
      <w:r w:rsidRPr="00FD33A1">
        <w:rPr>
          <w:rFonts w:ascii="Times New Roman" w:hAnsi="Times New Roman" w:cs="Times New Roman"/>
          <w:color w:val="000000" w:themeColor="text1"/>
        </w:rPr>
        <w:t xml:space="preserve"> in the villages where we conducted fieldwork and also interviewed all the large farmers. In UP – where the villages were much larger and scattered, a much smaller proportion of the Dalits and landed farmers were interviewed.  The fieldwork villages cannot be seen as representative cases – no village in India can be seen as such – but were not ‘atypical’ villages either, in terms of their caste composition, location and prevalent economic activities (Table 1). It could also be argued that, especially the two villages in AP, are places where the processes of change that we analyse tend to be more marked compared to other parts of India (especially in the North and Western part of the country). Finally, it is important to note that agricultural labour was scarce in the two villages in AP, particularly during the agricultural peak season. In UP, on the contrary, no landed farmer specifically referred to any difficulty in finding enough workers. This is probably a key reason why caste relations seem to be going through more visible change in AP, compared to UP.  </w:t>
      </w:r>
    </w:p>
    <w:p w14:paraId="485834B8"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28ACE24" w14:textId="4F2C0744" w:rsidR="00504C4D" w:rsidRDefault="003414DF" w:rsidP="00CF2606">
      <w:pPr>
        <w:tabs>
          <w:tab w:val="left" w:pos="5103"/>
        </w:tabs>
        <w:spacing w:line="360" w:lineRule="auto"/>
        <w:rPr>
          <w:rFonts w:ascii="Times New Roman" w:hAnsi="Times New Roman" w:cs="Times New Roman"/>
          <w:color w:val="000000" w:themeColor="text1"/>
        </w:rPr>
      </w:pPr>
      <w:r>
        <w:rPr>
          <w:rFonts w:ascii="Times New Roman" w:hAnsi="Times New Roman" w:cs="Times New Roman"/>
          <w:color w:val="000000" w:themeColor="text1"/>
        </w:rPr>
        <w:t>[TABLE 2 HERE]</w:t>
      </w:r>
    </w:p>
    <w:p w14:paraId="671FAAEF" w14:textId="44ED7248" w:rsidR="003414DF" w:rsidRDefault="003414DF" w:rsidP="00CF2606">
      <w:pPr>
        <w:tabs>
          <w:tab w:val="left" w:pos="5103"/>
        </w:tabs>
        <w:spacing w:line="360" w:lineRule="auto"/>
        <w:rPr>
          <w:rFonts w:ascii="Times New Roman" w:hAnsi="Times New Roman" w:cs="Times New Roman"/>
          <w:color w:val="000000" w:themeColor="text1"/>
        </w:rPr>
      </w:pPr>
    </w:p>
    <w:p w14:paraId="64461DBA" w14:textId="46E5D8C4" w:rsidR="003414DF" w:rsidRPr="00FD33A1" w:rsidRDefault="003414DF" w:rsidP="00CF2606">
      <w:pPr>
        <w:tabs>
          <w:tab w:val="left" w:pos="5103"/>
        </w:tabs>
        <w:spacing w:line="360" w:lineRule="auto"/>
        <w:rPr>
          <w:rFonts w:ascii="Times New Roman" w:hAnsi="Times New Roman" w:cs="Times New Roman"/>
          <w:color w:val="000000" w:themeColor="text1"/>
        </w:rPr>
      </w:pPr>
      <w:r>
        <w:rPr>
          <w:rFonts w:ascii="Times New Roman" w:hAnsi="Times New Roman" w:cs="Times New Roman"/>
          <w:color w:val="000000" w:themeColor="text1"/>
        </w:rPr>
        <w:t>[TABLE 3 HERE]</w:t>
      </w:r>
    </w:p>
    <w:p w14:paraId="7212EEA0"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B596F2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1091A5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Much of the empirical material comes from the exploration of caste, gender and labour relations in the context of the Mahatma Gandhi National Rural Employment Guarantee Act (MGNREGA),</w:t>
      </w:r>
      <w:r w:rsidRPr="00FD33A1">
        <w:rPr>
          <w:rStyle w:val="Rimandonotaapidipagina"/>
          <w:rFonts w:ascii="Times New Roman" w:hAnsi="Times New Roman" w:cs="Times New Roman"/>
          <w:color w:val="000000" w:themeColor="text1"/>
        </w:rPr>
        <w:footnoteReference w:id="10"/>
      </w:r>
      <w:r w:rsidRPr="00FD33A1">
        <w:rPr>
          <w:rFonts w:ascii="Times New Roman" w:hAnsi="Times New Roman" w:cs="Times New Roman"/>
          <w:color w:val="000000" w:themeColor="text1"/>
        </w:rPr>
        <w:t xml:space="preserve"> a social assistance policy that is contributing to the altering of power relations at the grassroots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{"citationItems":[{"id":"ITEM-1","itemData":{"DOI":"10.1080/03066150.2014.890932","ISSN":"0306-6150","abstract":"This paper examines narratives about the Mahatma Gandhi National Rural Employment Guarantee Scheme (MGNREGA) to reveal people's interpretations of changes to agrarian relations in Andhra Pradesh. Through narratives, we are able to reveal more than just the material relations of production, unveiling internalised modes of control, how these have come under threat in recent times, and discursive strategies to restore them ? albeit in modified form. It argues that the MGNREGA has become a site of ideological contestation, in which the scheme means either an entitlement to government support, or alternatively a threat to existing modes of control that can only be reinstated through the scheme itself.\\nThis paper examines narratives about the Mahatma Gandhi National Rural Employment Guarantee Scheme (MGNREGA) to reveal people's interpretations of changes to agrarian relations in Andhra Pradesh. Through narratives, we are able to reveal more than just the material relations of production, unveiling internalised modes of control, how these have come under threat in recent times, and discursive strategies to restore them ? albeit in modified form. It argues that the MGNREGA has become a site of ideological contestation, in which the scheme means either an entitlement to government support, or alternatively a threat to existing modes of control that can only be reinstated through the scheme itself.","author":[{"dropping-particle":"","family":"Jakimow","given":"Tanya","non-dropping-particle":"","parse-names":false,"suffix":""}],"container-title":"Journal of Peasant Studies","id":"ITEM-1","issue":"2","issued":{"date-parts":[["2014"]]},"page":"1-19","title":"‘Breaking the backbone of farmers’: contestations in a rural employment guarantee scheme","type":"article-journal","volume":"41"},"uris":["http://www.mendeley.com/documents/?uuid=1399ed7f-dd7e-4fe8-96e7-9a5d98a6f0d2"]},{"id":"ITEM-2","itemData":{"DOI":"10.1111/joac.12054","ISSN":"14710358","author":[{"dropping-particle":"","family":"Carswell","given":"Grace","non-dropping-particle":"","parse-names":false,"suffix":""},{"dropping-particle":"","family":"Neve","given":"Geert","non-dropping-particle":"De","parse-names":false,"suffix":""}],"container-title":"Journal of Agrarian Change","id":"ITEM-2","issue":"4","issued":{"date-parts":[["2014"]]},"page":"564-85","title":"MGNREGA in Tamil Nadu: A Story of Success and Transformation?","type":"article-journal","volume":"14"},"uris":["http://www.mendeley.com/documents/?uuid=6cb25484-dfb9-41cc-9c43-25dc11e0384b"]}],"mendeley":{"formattedCitation":"(Carswell &amp; De Neve, 2014; Jakimow, 2014)","plainTextFormattedCitation":"(Carswell &amp; De Neve, 2014; Jakimow, 2014)","previouslyFormattedCitation":"(Carswell &amp; De Neve, 2014; Jakimow, 2014)"},"properties":{"noteIndex":0},"schema":"https://github.com/citation-style-language/schema/raw/master/csl-citation.json"}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(Carswell &amp; De Neve, 2014; Jakimow, 2014)</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The process of negotiation we are interested in is taking place to a much greater extent in AP; </w:t>
      </w:r>
      <w:proofErr w:type="gramStart"/>
      <w:r w:rsidRPr="00FD33A1">
        <w:rPr>
          <w:rFonts w:ascii="Times New Roman" w:hAnsi="Times New Roman" w:cs="Times New Roman"/>
          <w:color w:val="000000" w:themeColor="text1"/>
        </w:rPr>
        <w:t>thus</w:t>
      </w:r>
      <w:proofErr w:type="gramEnd"/>
      <w:r w:rsidRPr="00FD33A1">
        <w:rPr>
          <w:rFonts w:ascii="Times New Roman" w:hAnsi="Times New Roman" w:cs="Times New Roman"/>
          <w:color w:val="000000" w:themeColor="text1"/>
        </w:rPr>
        <w:t xml:space="preserve"> our focus </w:t>
      </w:r>
      <w:r w:rsidRPr="00FD33A1">
        <w:rPr>
          <w:rFonts w:ascii="Times New Roman" w:hAnsi="Times New Roman" w:cs="Times New Roman"/>
          <w:color w:val="000000" w:themeColor="text1"/>
        </w:rPr>
        <w:lastRenderedPageBreak/>
        <w:t xml:space="preserve">below is on this state. We do not claim that the processes that we describe apply to the whole of India. In fact, these processes seem to be highly localised: while we found that the re-negotiation of caste norms is comparably much less pronounced in UP, </w:t>
      </w:r>
      <w:proofErr w:type="spellStart"/>
      <w:r w:rsidRPr="00FD33A1">
        <w:rPr>
          <w:rFonts w:ascii="Times New Roman" w:hAnsi="Times New Roman" w:cs="Times New Roman"/>
          <w:color w:val="000000" w:themeColor="text1"/>
        </w:rPr>
        <w:t>Kapur</w:t>
      </w:r>
      <w:proofErr w:type="spellEnd"/>
      <w:r w:rsidRPr="00FD33A1">
        <w:rPr>
          <w:rFonts w:ascii="Times New Roman" w:hAnsi="Times New Roman" w:cs="Times New Roman"/>
          <w:color w:val="000000" w:themeColor="text1"/>
        </w:rPr>
        <w:t xml:space="preserve">, Prasad, Pritchett &amp; Babu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{"citationItems":[{"id":"ITEM-1","itemData":{"DOI":"10.2307/25742020","abstract":"In the debates surrounding the consequences of India's shift from a state-led to a market-oriented economic model, the issue of caste and caste practices, particularly for dalits, has been an empirical weak link. We draw on a unique survey designed and implemented by members of the dalit community to capture social practices and conditions important to them which are not featured in the usual household surveys. This survey asked all dalit households in two blocks of Uttar Pradesh (Azamgarh and Bulandshahar districts) both about conditions currently and in 1990. The survey results suggest that placing exclusive focus on measures of material well-being, such as consumption expenditure and its inequality, is misplaced as it misses important changes in socially structured inequalities and hence in individuals' functioning.","author":[{"dropping-particle":"","family":"KAPUR","given":"DEVESH","non-dropping-particle":"","parse-names":false,"suffix":""},{"dropping-particle":"","family":"PRASAD","given":"CHANDRA BHAN","non-dropping-particle":"","parse-names":false,"suffix":""},{"dropping-particle":"","family":"PRITCHETT","given":"LANT","non-dropping-particle":"","parse-names":false,"suffix":""},{"dropping-particle":"","family":"BABU","given":"D SHYAM","non-dropping-particle":"","parse-names":false,"suffix":""}],"container-title":"Economic and Political Weekly","id":"ITEM-1","issue":"35","issued":{"date-parts":[["2010"]]},"page":"39-49","publisher":"Economic and Political Weekly","title":"Rethinking Inequality: Dalits in Uttar Pradesh in the Market Reform Era","type":"article-journal","volume":"45"},"suppress-author":1,"uris":["http://www.mendeley.com/documents/?uuid=c3d62387-d630-301c-9850-5cf4e6517391"]}],"mendeley":{"formattedCitation":"(2010)","plainTextFormattedCitation":"(2010)","previouslyFormattedCitation":"(2010)"},"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(2010)</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for instance, provide convincing evidence that some of the processes that we describe below with reference to AP, are in fact occurring in UP as well. This suggests that these processes are an important element in the transformation of large parts of India’s rural society, even if patterned unevenly. </w:t>
      </w:r>
    </w:p>
    <w:p w14:paraId="2544047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D6B73E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Our focus is on caste and everyday relations between Dalit labourers and upper/middle caste farmers who are mainly engaged in agricultural activities. So, labourers who regularly migrate to urban centres or upper caste people who have their main source of income outside the village are not included in this analysis. </w:t>
      </w:r>
    </w:p>
    <w:p w14:paraId="5E49A99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AFB4BA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59180E3" w14:textId="6DADC44C" w:rsidR="00504C4D" w:rsidRPr="00FD33A1" w:rsidRDefault="009D79B3" w:rsidP="00CF2606">
      <w:pPr>
        <w:tabs>
          <w:tab w:val="left" w:pos="5103"/>
        </w:tabs>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t xml:space="preserve">THE POLITICS OF THE (MOSTLY PASSIVE) POOR </w:t>
      </w:r>
    </w:p>
    <w:p w14:paraId="5A0A41AE"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6869969" w14:textId="0B3D98CD" w:rsidR="00504C4D" w:rsidRPr="00FD33A1" w:rsidRDefault="00504C4D" w:rsidP="00CF2606">
      <w:pPr>
        <w:tabs>
          <w:tab w:val="left" w:pos="5103"/>
        </w:tabs>
        <w:spacing w:line="360" w:lineRule="auto"/>
        <w:rPr>
          <w:rFonts w:ascii="Times New Roman" w:hAnsi="Times New Roman" w:cs="Times New Roman"/>
          <w:color w:val="FF0000"/>
        </w:rPr>
      </w:pPr>
      <w:r w:rsidRPr="00FD33A1">
        <w:rPr>
          <w:rFonts w:ascii="Times New Roman" w:hAnsi="Times New Roman" w:cs="Times New Roman"/>
          <w:color w:val="000000" w:themeColor="text1"/>
        </w:rPr>
        <w:t>There is a relative rich scholarship on the politics of the poor in developing countries.</w:t>
      </w:r>
      <w:r w:rsidRPr="00FD33A1">
        <w:rPr>
          <w:rStyle w:val="Rimandonotaapidipagina"/>
          <w:rFonts w:ascii="Times New Roman" w:hAnsi="Times New Roman" w:cs="Times New Roman"/>
          <w:color w:val="000000" w:themeColor="text1"/>
        </w:rPr>
        <w:footnoteReference w:id="11"/>
      </w:r>
      <w:r w:rsidRPr="00FD33A1">
        <w:rPr>
          <w:rFonts w:ascii="Times New Roman" w:hAnsi="Times New Roman" w:cs="Times New Roman"/>
          <w:color w:val="000000" w:themeColor="text1"/>
        </w:rPr>
        <w:t xml:space="preserve"> Back in the 1950s, Oscar Lewis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{"citationItems":[{"id":"ITEM-1","itemData":{"ISBN":"0465097057","author":[{"dropping-particle":"","family":"Lewis","given":"Oscar","non-dropping-particle":"","parse-names":false,"suffix":""}],"id":"ITEM-1","issued":{"date-parts":[["1975"]]},"publisher":"Basic Books","title":"Five families: Mexican case studies in the culture of poverty","type":"book"},"suppress-author":1,"uris":["http://www.mendeley.com/documents/?uuid=08f38570-6306-4aa1-a4ca-fca5ae706383"]}],"mendeley":{"formattedCitation":"(1975)","plainTextFormattedCitation":"(1975)","previouslyFormattedCitation":"(1975)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(1975)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saw the poor as embedded in a ‘culture of poverty’ marked by fatalism and lack of initiative which condemned them to remaining stuck in poverty. The image of the ‘fatalist poor’ – recently brought up again in a series of studies that adopt a ‘neo-Lewisian’ framework</w:t>
      </w:r>
      <w:r w:rsidRPr="00FD33A1">
        <w:rPr>
          <w:rStyle w:val="Rimandonotaapidipagina"/>
          <w:rFonts w:ascii="Times New Roman" w:hAnsi="Times New Roman" w:cs="Times New Roman"/>
          <w:color w:val="000000" w:themeColor="text1"/>
        </w:rPr>
        <w:footnoteReference w:id="12"/>
      </w:r>
      <w:r w:rsidRPr="00FD33A1">
        <w:rPr>
          <w:rFonts w:ascii="Times New Roman" w:hAnsi="Times New Roman" w:cs="Times New Roman"/>
          <w:color w:val="000000" w:themeColor="text1"/>
        </w:rPr>
        <w:t xml:space="preserve"> – was criticised in light of the empirical evidence that poor people, even when they accept their fate and see little hope for the future, employ a number of strategies to cope with their poverty. Hence the emergence of the ‘coping poor’ model, which recognised the pro-active behaviour of the poor in attempting to handle their poverty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{"citationItems":[{"id":"ITEM-1","itemData":{"ISBN":"9780520035614","abstract":"1. The rational peasant -- 2. The political economy of peasant society -- 3. Precolonial Vietnam -- 4. Corporatism and colonialism -- 5. Up from feudalism -- 6. Peasant movements and collective action.","author":[{"dropping-particle":"","family":"Popkin","given":"Samuel L.","non-dropping-particle":"","parse-names":false,"suffix":""}],"id":"ITEM-1","issued":{"date-parts":[["1979"]]},"number-of-pages":"306","publisher":"University of California Press","title":"The rational peasant : the political economy of rural society in Vietnam","type":"book"},"uris":["http://www.mendeley.com/documents/?uuid=bee8816d-633c-3eb5-bb6e-6fe7fcf37e50"]}],"mendeley":{"formattedCitation":"(Popkin, 1979)","plainTextFormattedCitation":"(Popkin, 1979)","previouslyFormattedCitation":"(Popkin, 1979)"},"properties":{"noteIndex":0},"schema":"https://github.com/citation-style-language/schema/raw/master/csl-citation.json"}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(Popkin, 1979)</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This model resonates with a large body of research in anthropology and political science on patron-client relationships that sees the poor as the subaltern subjects who ‘sell’ their votes in exchange for favours, resources or access to services </w:t>
      </w:r>
      <w:r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author":[{"dropping-particle":"","family":"Kitschelt","given":"Herbert","non-dropping-particle":"","parse-names":false,"suffix":""},{"dropping-particle":"","family":"Wilkinson","given":"Steven","non-dropping-particle":"","parse-names":false,"suffix":""}],"id":"ITEM-1","issued":{"date-parts":[["2007"]]},"publisher":"Cambridge University Press","publisher-place":"Camnridge","title":"Patrons, Clients and Policies Patterns of Democratic Accountability and Political Competition","type":"book"},"uris":["http://www.mendeley.com/documents/?uuid=18068e5b-d796-446d-b668-ba696b46b250"]},{"id":"ITEM-2","itemData":{"author":[{"dropping-particle":"","family":"Piliavski","given":"A.","non-dropping-particle":"","parse-names":false,"suffix":""}],"editor":[{"dropping-particle":"","family":"Piliavsky","given":"A.","non-dropping-particle":"","parse-names":false,"suffix":""}],"id":"ITEM-2","issued":{"date-parts":[["2015"]]},"publisher":"Cambridge University Press","publisher-place":"Cambridge","title":"Patronage as politics in South Asia","type":"book"},"uris":["http://www.mendeley.com/documents/?uuid=7089d98a-e884-4f1a-82e4-4cc5448f282f"]},{"id":"ITEM-3","itemData":{"ISSN":"1094-2939","author":[{"dropping-particle":"","family":"Hicken","given":"Allen","non-dropping-particle":"","parse-names":false,"suffix":""}],"container-title":"Annual Review of Political Science","id":"ITEM-3","issued":{"date-parts":[["2011"]]},"page":"289-310","publisher":"Annual Reviews","title":"Clientelism","type":"article-journal","volume":"14"},"uris":["http://www.mendeley.com/documents/?uuid=ae7fde94-6f34-4e4c-89ea-38c7e917b7cb"]}],"mendeley":{"formattedCitation":"(Hicken, 2011; Kitschelt &amp; Wilkinson, 2007; Piliavski, 2015)","plainTextFormattedCitation":"(Hicken, 2011; Kitschelt &amp; Wilkinson, 2007; Piliavski, 2015)","previouslyFormattedCitation":"(Hicken, 2011; Kitschelt &amp; Wilkinson, 2007; Piliavski, 2015)"},"properties":{"noteIndex":0},"schema":"https://github.com/citation-style-language/schema/raw/master/csl-citation.json"}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(Hicken, 2011; Kitschelt &amp; Wilkinson, 2007; Piliavski, 2015)</w:t>
      </w:r>
      <w:r w:rsidRPr="00FD33A1">
        <w:rPr>
          <w:rFonts w:ascii="Times New Roman" w:hAnsi="Times New Roman" w:cs="Times New Roman"/>
          <w:color w:val="000000" w:themeColor="text1"/>
        </w:rPr>
        <w:fldChar w:fldCharType="end"/>
      </w:r>
      <w:r w:rsidRPr="00FD33A1">
        <w:rPr>
          <w:rFonts w:ascii="Times New Roman" w:eastAsia="Times New Roman" w:hAnsi="Times New Roman" w:cs="Times New Roman"/>
          <w:color w:val="000000" w:themeColor="text1"/>
        </w:rPr>
        <w:t xml:space="preserve">. </w:t>
      </w:r>
    </w:p>
    <w:p w14:paraId="04B82BE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87855AB" w14:textId="025B0531"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lastRenderedPageBreak/>
        <w:t xml:space="preserve">Several scholars have criticised the ‘coping poor’ model in an attempt to acknowledge poor people’s agency. In the late 1970s, in the Indian context, the concept of ‘everyday resistance’ was at the centre of the ‘Subaltern Studies’ project </w:t>
      </w:r>
      <w:r w:rsidR="000B2C6F" w:rsidRPr="00FD33A1">
        <w:rPr>
          <w:rFonts w:ascii="Times New Roman" w:hAnsi="Times New Roman" w:cs="Times New Roman"/>
          <w:color w:val="000000" w:themeColor="text1"/>
        </w:rPr>
        <w:fldChar w:fldCharType="begin" w:fldLock="1"/>
      </w:r>
      <w:r w:rsidR="003E3F8D" w:rsidRPr="00FD33A1">
        <w:rPr>
          <w:rFonts w:ascii="Times New Roman" w:hAnsi="Times New Roman" w:cs="Times New Roman"/>
          <w:color w:val="000000" w:themeColor="text1"/>
        </w:rPr>
        <w:instrText>ADDIN CSL_CITATION {"citationItems":[{"id":"ITEM-1","itemData":{"ISBN":"0813535522","abstract":"Der Einleitungsarktikel des ersten Volumes der Subaltern Studies Group: Guha formuliert sozusagen das Programm und die Ausgangslage in 16. Punkten. Die indische Geschichtsschreibung wird von zwei Eliten dominiert – einer kolonialen und einer bourgeois-nationalen. Die Entstehung des indischen Staates und eines nationalen Bewusstseins wird in dieser dominanten Gescchichtsschreibung als Verdienst dieser Eliten gesehen. Die von der kolonialen Elite geprägte Geschichtsschreibung operiert in einem Stimulus-Response-Schema: der indische Nationalismus wird als Summe der Reaktionen einer indischen Elite auf die kolonialen Bedingungen betrachtet. Die von der bourgeois-natialen Elite propagierte Sichtweise sieht indischen Nationalismus als «ideologisches» Projekt: Eine indische Elite hat das Volk von der Unterdrückung in die Freiheit geführt – «a sort of spiritual biography of the Indian elite.» (S2) Die Subaltern Studies führen weg von dieser elitären Geschichtsschreibung und richten ihren Fokus auf die subalternen Bevölkerungsgruppen und ihren Beitrag zum Lauf der Geschichte – «the politics of people» (S4). Subaltern Studies widmen sich der Art und Weise, in der sich diese politics of people geäussert hat (Aufstände, …). Die Koexistenz von subalterner und elitärer Politik, wird dabei als Index gesehen, «[for] the failure of the Indian bourgeois to speak for the nation». Mehr noch: «The elitism of modern Indian historiography is an oppressive fact resented by many others, students, teachers and writers like ourselves.»","author":[{"dropping-particle":"","family":"Guha","given":"Ranajit","non-dropping-particle":"","parse-names":false,"suffix":""}],"container-title":"Subaltern Studies (Volume 1). Writings on South Asian History and Society","id":"ITEM-1","issued":{"date-parts":[["1982"]]},"title":"On Some Aspects of the Historiography of Colonial India","type":"article"},"uris":["http://www.mendeley.com/documents/?uuid=c3a404e0-f68b-4300-91ce-df9d090a262c"]},{"id":"ITEM-2","itemData":{"author":[{"dropping-particle":"","family":"Pandey","given":"Gyanendra","non-dropping-particle":"","parse-names":false,"suffix":""}],"id":"ITEM-2","issued":{"date-parts":[["1978"]]},"publisher":"Oxford University Press","publisher-place":"New Delhi","title":"The ascendancy of the congress in Uttar Pradesh, 1926-34: a study in imperfect mobilization","type":"book"},"uris":["http://www.mendeley.com/documents/?uuid=74aaa68d-24c0-4159-adc2-9894d15a33c7"]}],"mendeley":{"formattedCitation":"(Guha, 1982; Pandey, 1978)","plainTextFormattedCitation":"(Guha, 1982; Pandey, 1978)","previouslyFormattedCitation":"(Guha, 1982; Pandey, 1978)"},"properties":{"noteIndex":0},"schema":"https://github.com/citation-style-language/schema/raw/master/csl-citation.json"}</w:instrText>
      </w:r>
      <w:r w:rsidR="000B2C6F" w:rsidRPr="00FD33A1">
        <w:rPr>
          <w:rFonts w:ascii="Times New Roman" w:hAnsi="Times New Roman" w:cs="Times New Roman"/>
          <w:color w:val="000000" w:themeColor="text1"/>
        </w:rPr>
        <w:fldChar w:fldCharType="separate"/>
      </w:r>
      <w:r w:rsidR="000B2C6F" w:rsidRPr="00FD33A1">
        <w:rPr>
          <w:rFonts w:ascii="Times New Roman" w:hAnsi="Times New Roman" w:cs="Times New Roman"/>
          <w:noProof/>
          <w:color w:val="000000" w:themeColor="text1"/>
        </w:rPr>
        <w:t>(Guha, 1982; Pandey, 1978)</w:t>
      </w:r>
      <w:r w:rsidR="000B2C6F" w:rsidRPr="00FD33A1">
        <w:rPr>
          <w:rFonts w:ascii="Times New Roman" w:hAnsi="Times New Roman" w:cs="Times New Roman"/>
          <w:color w:val="000000" w:themeColor="text1"/>
        </w:rPr>
        <w:fldChar w:fldCharType="end"/>
      </w:r>
      <w:r w:rsidR="000B2C6F" w:rsidRPr="00FD33A1">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t xml:space="preserve"> that arose in opposition to the elitist genres of historiography</w:t>
      </w:r>
      <w:r w:rsidRPr="00FD33A1">
        <w:rPr>
          <w:rStyle w:val="Rimandonotaapidipagina"/>
          <w:rFonts w:ascii="Times New Roman" w:hAnsi="Times New Roman" w:cs="Times New Roman"/>
          <w:color w:val="000000" w:themeColor="text1"/>
        </w:rPr>
        <w:footnoteReference w:id="13"/>
      </w:r>
      <w:r w:rsidRPr="00FD33A1">
        <w:rPr>
          <w:rFonts w:ascii="Times New Roman" w:hAnsi="Times New Roman" w:cs="Times New Roman"/>
          <w:color w:val="000000" w:themeColor="text1"/>
        </w:rPr>
        <w:t>, while simultaneously re-instating the distinctive histories of the dispossessed and the subordinate – the ‘subaltern’</w:t>
      </w:r>
      <w:r w:rsidR="000B2C6F" w:rsidRPr="00FD33A1">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{"citationItems":[{"id":"ITEM-1","itemData":{"ISSN":"0970-0293","author":[{"dropping-particle":"","family":"Chatterjee","given":"Partha","non-dropping-particle":"","parse-names":false,"suffix":""}],"container-title":"Social Scientist","id":"ITEM-1","issued":{"date-parts":[["1983"]]},"page":"58-65","publisher":"JSTOR","title":"Peasants, politics and historiography: a response","type":"article-journal"},"uris":["http://www.mendeley.com/documents/?uuid=e028e686-8899-4b7e-8fa6-ff00b5ee3232"]}],"mendeley":{"formattedCitation":"(Chatterjee, 1983)","plainTextFormattedCitation":"(Chatterjee, 1983)","previouslyFormattedCitation":"(Chatterjee, 1983)"},"properties":{"noteIndex":0},"schema":"https://github.com/citation-style-language/schema/raw/master/csl-citation.json"}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(Chatterjee, 1983)</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The representative subordinate groups were the peasants, agricultural labourers, factory workers and </w:t>
      </w:r>
      <w:proofErr w:type="spellStart"/>
      <w:r w:rsidRPr="00FD33A1">
        <w:rPr>
          <w:rFonts w:ascii="Times New Roman" w:hAnsi="Times New Roman" w:cs="Times New Roman"/>
          <w:color w:val="000000" w:themeColor="text1"/>
        </w:rPr>
        <w:t>tribals</w:t>
      </w:r>
      <w:proofErr w:type="spellEnd"/>
      <w:r w:rsidRPr="00FD33A1">
        <w:rPr>
          <w:rFonts w:ascii="Times New Roman" w:hAnsi="Times New Roman" w:cs="Times New Roman"/>
          <w:color w:val="000000" w:themeColor="text1"/>
        </w:rPr>
        <w:t xml:space="preserve">, to name a few. Though subaltern studies approach has been critiqued for emphasising the dramatic and confrontational revolts by the </w:t>
      </w:r>
      <w:proofErr w:type="spellStart"/>
      <w:r w:rsidRPr="00FD33A1">
        <w:rPr>
          <w:rFonts w:ascii="Times New Roman" w:hAnsi="Times New Roman" w:cs="Times New Roman"/>
          <w:color w:val="000000" w:themeColor="text1"/>
        </w:rPr>
        <w:t>subalternists</w:t>
      </w:r>
      <w:proofErr w:type="spellEnd"/>
      <w:r w:rsidRPr="00FD33A1">
        <w:rPr>
          <w:rFonts w:ascii="Times New Roman" w:hAnsi="Times New Roman" w:cs="Times New Roman"/>
          <w:color w:val="000000" w:themeColor="text1"/>
        </w:rPr>
        <w:t xml:space="preserve">’ and to maintain a claim for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underclass autonomy’’ </w:t>
      </w:r>
      <w:r w:rsidR="003E3F8D" w:rsidRPr="00FD33A1">
        <w:rPr>
          <w:rFonts w:ascii="Times New Roman" w:hAnsi="Times New Roman" w:cs="Times New Roman"/>
          <w:color w:val="000000" w:themeColor="text1"/>
        </w:rPr>
        <w:fldChar w:fldCharType="begin" w:fldLock="1"/>
      </w:r>
      <w:r w:rsidR="003E3F8D" w:rsidRPr="00FD33A1">
        <w:rPr>
          <w:rFonts w:ascii="Times New Roman" w:hAnsi="Times New Roman" w:cs="Times New Roman"/>
          <w:color w:val="000000" w:themeColor="text1"/>
        </w:rPr>
        <w:instrText>ADDIN CSL_CITATION {"citationItems":[{"id":"ITEM-1","itemData":{"abstract":"Essays emerged from two panels on \"Modes of protest in South Asia\", organized by the co-editors at the annual conference on South Asia at the University of Wisconsin and at the meetings of the American Historical Association. Taken together, the essays suggest that we must consider a much wider range of socio-cultural practices if we wish to understand how the world of dominated groups is constrained, modified, and conditioned by power relations. Identifying the \"everydayness\" of resistance in social life thus reveals a social structure formed from a constellation of contradictory and contestatory processes, rather than a seamless, functional whole. At the same time, struggle is portrayed as something that is constantly being conditioned by the structures of social and political power. As the editors note, \"neither domination nor resistance is autonomous; the two are entangled together so that it becomes difficult to analyze one without discussing the effects of the other.\" Riots, rebellions, and revolutions have always captured our attention. But moments of upheaval do not contrast as strongly with \"normal\" times as many social historians, sociologists, and political scientists have assumed. Offering examples from South Asia, these essays examine subtle forms of the \"everyday resistance\" and varieties of the everyday use of power that mark the patterns of ordinary life in the region. These essays are part of a larger effort to understand the history of subordination in India. They focus on peasants and urban laborers, courtesans and merchants, sometimes employing unconventional sources and methods. By depicting a rich variety of non-confrontational forms of resistance and contestatory behaviors, the authors challenge our usual assumptions about the overt nature of resistance to dominant powerholders. 1. Introduction: The Entanglement of Power and Resistance / Douglas Haynes and Gyan Prakash -- 2. Lifestyle as Resistance: The Case of the Courtesans of Lucknow / Veena Talwar Oldenburg -- 3. Issues of Widowhood: Gender and Resistance in Colonial Western India / Rosalind O'Hanlon -- 4. Workers' Resistance and the Rationalization of Work in Bombay between the Wars / Rajnarayan Chandavarkar -- 5. Becoming a Bhuinya: Oral Traditions and Contested Domination in Eastern India / Gyan Prakash -- 6. Cultural and Social Resistance: Gambling in Colonial Sri Lanka / John D. Rogers -- 7. Ritual and Resistance: Subversion as a Social Fact / Nicholas B. Dirks -- 8. From…","author":[{"dropping-particle":"","family":"Haynes","given":"Douglas","non-dropping-particle":"","parse-names":false,"suffix":""},{"dropping-particle":"","family":"Prakash","given":"Gyan","non-dropping-particle":"","parse-names":false,"suffix":""}],"container-title":"The Journal of Asian Studies","id":"ITEM-1","issued":{"date-parts":[["1993"]]},"title":"Contesting Power: Resistance and Everyday Social Relations in South Asia.","type":"book"},"locator":"8","uris":["http://www.mendeley.com/documents/?uuid=1046e836-5400-46e9-be04-1836caf20561"]}],"mendeley":{"formattedCitation":"(Haynes &amp; Prakash, 1993, p. 8)","plainTextFormattedCitation":"(Haynes &amp; Prakash, 1993, p. 8)","previouslyFormattedCitation":"(Haynes &amp; Prakash, 1993, p. 8)"},"properties":{"noteIndex":0},"schema":"https://github.com/citation-style-language/schema/raw/master/csl-citation.json"}</w:instrText>
      </w:r>
      <w:r w:rsidR="003E3F8D" w:rsidRPr="00FD33A1">
        <w:rPr>
          <w:rFonts w:ascii="Times New Roman" w:hAnsi="Times New Roman" w:cs="Times New Roman"/>
          <w:color w:val="000000" w:themeColor="text1"/>
        </w:rPr>
        <w:fldChar w:fldCharType="separate"/>
      </w:r>
      <w:r w:rsidR="003E3F8D" w:rsidRPr="00FD33A1">
        <w:rPr>
          <w:rFonts w:ascii="Times New Roman" w:hAnsi="Times New Roman" w:cs="Times New Roman"/>
          <w:noProof/>
          <w:color w:val="000000" w:themeColor="text1"/>
        </w:rPr>
        <w:t>(Haynes &amp; Prakash, 1993, p. 8)</w:t>
      </w:r>
      <w:r w:rsidR="003E3F8D"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the idea that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the everyday reality of subordination, with its attendant ideologies and practices contain[s] elements of submission as well as intransigence</w:t>
      </w:r>
      <w:r w:rsidR="009D79B3" w:rsidRPr="00FD33A1">
        <w:rPr>
          <w:rFonts w:ascii="Times New Roman" w:hAnsi="Times New Roman" w:cs="Times New Roman"/>
          <w:color w:val="000000" w:themeColor="text1"/>
        </w:rPr>
        <w:t>’</w:t>
      </w:r>
      <w:r w:rsidR="003E3F8D" w:rsidRPr="00FD33A1">
        <w:rPr>
          <w:rFonts w:ascii="Times New Roman" w:hAnsi="Times New Roman" w:cs="Times New Roman"/>
          <w:color w:val="000000" w:themeColor="text1"/>
        </w:rPr>
        <w:t xml:space="preserve"> </w:t>
      </w:r>
      <w:r w:rsidR="003E3F8D" w:rsidRPr="00FD33A1">
        <w:rPr>
          <w:rFonts w:ascii="Times New Roman" w:hAnsi="Times New Roman" w:cs="Times New Roman"/>
          <w:color w:val="000000" w:themeColor="text1"/>
        </w:rPr>
        <w:fldChar w:fldCharType="begin" w:fldLock="1"/>
      </w:r>
      <w:r w:rsidR="003E3F8D" w:rsidRPr="00FD33A1">
        <w:rPr>
          <w:rFonts w:ascii="Times New Roman" w:hAnsi="Times New Roman" w:cs="Times New Roman"/>
          <w:color w:val="000000" w:themeColor="text1"/>
        </w:rPr>
        <w:instrText>ADDIN CSL_CITATION {"citationItems":[{"id":"ITEM-1","itemData":{"author":[{"dropping-particle":"","family":"Chatterjee","given":"Partha","non-dropping-particle":"","parse-names":false,"suffix":""}],"container-title":"Economic and Political Weekly","id":"ITEM-1","issue":"35","issued":{"date-parts":[["2012"]]},"page":"44-49","title":"After subaltern studies","type":"article-journal","volume":"47"},"locator":"46","uris":["http://www.mendeley.com/documents/?uuid=f244319a-121f-415b-b6ef-738ceeef5de1"]}],"mendeley":{"formattedCitation":"(Chatterjee, 2012, p. 46)","plainTextFormattedCitation":"(Chatterjee, 2012, p. 46)","previouslyFormattedCitation":"(Chatterjee, 2012, p. 46)"},"properties":{"noteIndex":0},"schema":"https://github.com/citation-style-language/schema/raw/master/csl-citation.json"}</w:instrText>
      </w:r>
      <w:r w:rsidR="003E3F8D" w:rsidRPr="00FD33A1">
        <w:rPr>
          <w:rFonts w:ascii="Times New Roman" w:hAnsi="Times New Roman" w:cs="Times New Roman"/>
          <w:color w:val="000000" w:themeColor="text1"/>
        </w:rPr>
        <w:fldChar w:fldCharType="separate"/>
      </w:r>
      <w:r w:rsidR="003E3F8D" w:rsidRPr="00FD33A1">
        <w:rPr>
          <w:rFonts w:ascii="Times New Roman" w:hAnsi="Times New Roman" w:cs="Times New Roman"/>
          <w:noProof/>
          <w:color w:val="000000" w:themeColor="text1"/>
        </w:rPr>
        <w:t>(Chatterjee, 2012, p. 46)</w:t>
      </w:r>
      <w:r w:rsidR="003E3F8D"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is of particular importance to our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Thus no hegemony can be so pervasive and penetrative, so as to eliminate all grounds for contestation or resistance. In fact, we want to emphasise the entanglements of domination and resistance with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resistance in domination and domination in resistance’’</w:t>
      </w:r>
      <w:r w:rsidR="003E3F8D" w:rsidRPr="00FD33A1">
        <w:rPr>
          <w:rFonts w:ascii="Times New Roman" w:hAnsi="Times New Roman" w:cs="Times New Roman"/>
          <w:color w:val="000000" w:themeColor="text1"/>
        </w:rPr>
        <w:t xml:space="preserve"> </w:t>
      </w:r>
      <w:r w:rsidR="003E3F8D" w:rsidRPr="00FD33A1">
        <w:rPr>
          <w:rFonts w:ascii="Times New Roman" w:hAnsi="Times New Roman" w:cs="Times New Roman"/>
          <w:color w:val="000000" w:themeColor="text1"/>
        </w:rPr>
        <w:fldChar w:fldCharType="begin" w:fldLock="1"/>
      </w:r>
      <w:r w:rsidR="003E3F8D" w:rsidRPr="00FD33A1">
        <w:rPr>
          <w:rFonts w:ascii="Times New Roman" w:hAnsi="Times New Roman" w:cs="Times New Roman"/>
          <w:color w:val="000000" w:themeColor="text1"/>
        </w:rPr>
        <w:instrText>ADDIN CSL_CITATION {"citationItems":[{"id":"ITEM-1","itemData":{"ISBN":"1134668953","author":[{"dropping-particle":"","family":"Paddison","given":"Ronan","non-dropping-particle":"","parse-names":false,"suffix":""},{"dropping-particle":"","family":"Philo","given":"Chris","non-dropping-particle":"","parse-names":false,"suffix":""},{"dropping-particle":"","family":"Routledge","given":"Paul","non-dropping-particle":"","parse-names":false,"suffix":""},{"dropping-particle":"","family":"Sharp","given":"Joanne","non-dropping-particle":"","parse-names":false,"suffix":""}],"id":"ITEM-1","issued":{"date-parts":[["2002"]]},"publisher":"Routledge","title":"Entanglements of power: geographies of domination/resistance","type":"book"},"locator":"21","uris":["http://www.mendeley.com/documents/?uuid=eed6026c-dfa2-4f8a-80ae-907433af51b4"]}],"mendeley":{"formattedCitation":"(Paddison, Philo, Routledge, &amp; Sharp, 2002, p. 21)","plainTextFormattedCitation":"(Paddison, Philo, Routledge, &amp; Sharp, 2002, p. 21)","previouslyFormattedCitation":"(Paddison, Philo, Routledge, &amp; Sharp, 2002, p. 21)"},"properties":{"noteIndex":0},"schema":"https://github.com/citation-style-language/schema/raw/master/csl-citation.json"}</w:instrText>
      </w:r>
      <w:r w:rsidR="003E3F8D" w:rsidRPr="00FD33A1">
        <w:rPr>
          <w:rFonts w:ascii="Times New Roman" w:hAnsi="Times New Roman" w:cs="Times New Roman"/>
          <w:color w:val="000000" w:themeColor="text1"/>
        </w:rPr>
        <w:fldChar w:fldCharType="separate"/>
      </w:r>
      <w:r w:rsidR="003E3F8D" w:rsidRPr="00FD33A1">
        <w:rPr>
          <w:rFonts w:ascii="Times New Roman" w:hAnsi="Times New Roman" w:cs="Times New Roman"/>
          <w:noProof/>
          <w:color w:val="000000" w:themeColor="text1"/>
        </w:rPr>
        <w:t>(Paddison, Philo, Routledge, &amp; Sharp, 2002, p. 21)</w:t>
      </w:r>
      <w:r w:rsidR="003E3F8D" w:rsidRPr="00FD33A1">
        <w:rPr>
          <w:rFonts w:ascii="Times New Roman" w:hAnsi="Times New Roman" w:cs="Times New Roman"/>
          <w:color w:val="000000" w:themeColor="text1"/>
        </w:rPr>
        <w:fldChar w:fldCharType="end"/>
      </w:r>
      <w:r w:rsidR="003E3F8D"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t>
      </w:r>
    </w:p>
    <w:p w14:paraId="2B7B4F6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4A2B4F5" w14:textId="31E184B4"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James Scott’s work drew attention to everyday and widespread individual non-organised acts of resistance and ‘insubordination’ by the subalterns. He, thus, argues that a whole range of actions – from setting fire to a landlord’s crop, to theft, to singing songs against oppression, to telling jokes about a state official – are political acts in their own right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{"citationItems":[{"id":"ITEM-1","itemData":{"author":[{"dropping-particle":"","family":"Scott","given":"James","non-dropping-particle":"","parse-names":false,"suffix":""}],"id":"ITEM-1","issued":{"date-parts":[["1985"]]},"publisher":"Yale University Press","publisher-place":"New Haven","title":"C.,(1985) Weapons of the Weak: Everyday Forms of Peasant Resistance","type":"book"},"uris":["http://www.mendeley.com/documents/?uuid=f1577bbc-8a86-40c6-9d1d-ce3f817d2e07"]}],"mendeley":{"formattedCitation":"(Scott, 1985)","manualFormatting":"(Scott, 1985; also see Ortner, 1995)","plainTextFormattedCitation":"(Scott, 1985)","previouslyFormattedCitation":"(Scott, 1985)"},"properties":{"noteIndex":0},"schema":"https://github.com/citation-style-language/schema/raw/master/csl-citation.json"}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(Scott, 1985; also see Ortner, 1995)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While in most cases these less organised acts of resistance are subtle and invisible or inaccessible (to the elites), at rare moments, the ‘hidden transcripts’ break through the mask of silence opening up the possibility for transformative resistance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{"citationItems":[{"id":"ITEM-1","itemData":{"author":[{"dropping-particle":"","family":"Scott","given":"James","non-dropping-particle":"","parse-names":false,"suffix":""}],"id":"ITEM-1","issued":{"date-parts":[["1990"]]},"publisher":"Yale University Press","publisher-place":"New Haven","title":"Hidden transcripts: domination and the arts of resistance","type":"book"},"uris":["http://www.mendeley.com/documents/?uuid=9722ad74-9fdd-4349-9cba-b8e291ae3089"]}],"mendeley":{"formattedCitation":"(Scott, 1990)","plainTextFormattedCitation":"(Scott, 1990)","previouslyFormattedCitation":"(Scott, 1990)"},"properties":{"noteIndex":0},"schema":"https://github.com/citation-style-language/schema/raw/master/csl-citation.json"}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(Scott, 1990)</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Scott’s analysis is important to understand the ‘</w:t>
      </w:r>
      <w:proofErr w:type="spellStart"/>
      <w:r w:rsidRPr="00FD33A1">
        <w:rPr>
          <w:rFonts w:ascii="Times New Roman" w:hAnsi="Times New Roman" w:cs="Times New Roman"/>
          <w:color w:val="000000" w:themeColor="text1"/>
        </w:rPr>
        <w:t>infrapolitics</w:t>
      </w:r>
      <w:proofErr w:type="spellEnd"/>
      <w:r w:rsidRPr="00FD33A1">
        <w:rPr>
          <w:rFonts w:ascii="Times New Roman" w:hAnsi="Times New Roman" w:cs="Times New Roman"/>
          <w:color w:val="000000" w:themeColor="text1"/>
        </w:rPr>
        <w:t xml:space="preserve">’ of the subordinated which rarely manifests itself through ‘dramatic confrontation’. Instead, ‘their safety lies in their anonymity’ (Scott, 1985, p. 36).  Extending the notion of </w:t>
      </w:r>
      <w:proofErr w:type="spellStart"/>
      <w:r w:rsidRPr="00FD33A1">
        <w:rPr>
          <w:rFonts w:ascii="Times New Roman" w:hAnsi="Times New Roman" w:cs="Times New Roman"/>
          <w:color w:val="000000" w:themeColor="text1"/>
        </w:rPr>
        <w:t>infrapolitics</w:t>
      </w:r>
      <w:proofErr w:type="spellEnd"/>
      <w:r w:rsidRPr="00FD33A1">
        <w:rPr>
          <w:rFonts w:ascii="Times New Roman" w:hAnsi="Times New Roman" w:cs="Times New Roman"/>
          <w:color w:val="000000" w:themeColor="text1"/>
        </w:rPr>
        <w:t xml:space="preserve">, Johansson and </w:t>
      </w:r>
      <w:proofErr w:type="spellStart"/>
      <w:r w:rsidRPr="00FD33A1">
        <w:rPr>
          <w:rFonts w:ascii="Times New Roman" w:hAnsi="Times New Roman" w:cs="Times New Roman"/>
          <w:color w:val="000000" w:themeColor="text1"/>
        </w:rPr>
        <w:t>Vinthagen</w:t>
      </w:r>
      <w:proofErr w:type="spellEnd"/>
      <w:r w:rsidR="003E3F8D" w:rsidRPr="00FD33A1">
        <w:rPr>
          <w:rFonts w:ascii="Times New Roman" w:hAnsi="Times New Roman" w:cs="Times New Roman"/>
          <w:color w:val="000000" w:themeColor="text1"/>
        </w:rPr>
        <w:t xml:space="preserve"> </w:t>
      </w:r>
      <w:r w:rsidR="003E3F8D"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{"citationItems":[{"id":"ITEM-1","itemData":{"DOI":"10.1177/0896920514524604","ISSN":"15691632","abstract":"Since James Scott introduced the concept of ‘everyday resistance’ in 1985, research has grown within partly overlapping fields. Existing studies utilize very different definitions, methodologies and understandings of ‘everyday resistance’, which makes a systematic development of the field difficult. In previous work, the authors have suggested a theoretical and definitional framework where everyday resistance is understood as a specific kind of resistance that is done routinely yet is not publicly articulated with political claims or formally organized. A more comprehensive and systematic exploration of this challenging phenomenon is possible through an analysis where: repertoires of everyday resistance are taken into account, together with relations between actors, as well as the spatialization and temporalization of resistance. These analytical dimensions are explained and motivated through illustrations from existing research. Finally, it is argued all four dimensions need to be studied in intersections.","author":[{"dropping-particle":"","family":"Johansson","given":"Anna","non-dropping-particle":"","parse-names":false,"suffix":""},{"dropping-particle":"","family":"Vinthagen","given":"Stellan","non-dropping-particle":"","parse-names":false,"suffix":""}],"container-title":"Critical Sociology","id":"ITEM-1","issued":{"date-parts":[["2014"]]},"title":"Dimensions of Everyday Resistance: An Analytical Framework","type":"article-journal"},"suppress-author":1,"uris":["http://www.mendeley.com/documents/?uuid=448131e8-69a2-43b7-9837-37fdc52fd034"]}],"mendeley":{"formattedCitation":"(2014)","plainTextFormattedCitation":"(2014)","previouslyFormattedCitation":"(2014)"},"properties":{"noteIndex":0},"schema":"https://github.com/citation-style-language/schema/raw/master/csl-citation.json"}</w:instrText>
      </w:r>
      <w:r w:rsidR="003E3F8D" w:rsidRPr="00FD33A1">
        <w:rPr>
          <w:rFonts w:ascii="Times New Roman" w:hAnsi="Times New Roman" w:cs="Times New Roman"/>
          <w:color w:val="000000" w:themeColor="text1"/>
        </w:rPr>
        <w:fldChar w:fldCharType="separate"/>
      </w:r>
      <w:r w:rsidR="00EC784A" w:rsidRPr="00FD33A1">
        <w:rPr>
          <w:rFonts w:ascii="Times New Roman" w:hAnsi="Times New Roman" w:cs="Times New Roman"/>
          <w:noProof/>
          <w:color w:val="000000" w:themeColor="text1"/>
        </w:rPr>
        <w:t>(2014)</w:t>
      </w:r>
      <w:r w:rsidR="003E3F8D"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understand resistance not only as a mode of survival but also as a way to undermining oppression. Understanding resistance as an everyday act, which is inseparable </w:t>
      </w:r>
      <w:r w:rsidRPr="00FD33A1">
        <w:rPr>
          <w:rFonts w:ascii="Times New Roman" w:hAnsi="Times New Roman" w:cs="Times New Roman"/>
          <w:color w:val="000000" w:themeColor="text1"/>
        </w:rPr>
        <w:lastRenderedPageBreak/>
        <w:t xml:space="preserve">from power, the act does not necessarily need to have an effect or outcome to be considered as resistance- it should have the potential of undermining power. Like </w:t>
      </w:r>
      <w:proofErr w:type="spellStart"/>
      <w:r w:rsidR="00A60A50" w:rsidRPr="00FD33A1">
        <w:rPr>
          <w:rFonts w:ascii="Times New Roman" w:hAnsi="Times New Roman" w:cs="Times New Roman"/>
          <w:color w:val="000000" w:themeColor="text1"/>
        </w:rPr>
        <w:t>Paddison</w:t>
      </w:r>
      <w:proofErr w:type="spellEnd"/>
      <w:r w:rsidR="00A60A50" w:rsidRPr="00FD33A1">
        <w:rPr>
          <w:rFonts w:ascii="Times New Roman" w:hAnsi="Times New Roman" w:cs="Times New Roman"/>
          <w:color w:val="000000" w:themeColor="text1"/>
        </w:rPr>
        <w:t xml:space="preserve"> and co-authors (2002, p. 20)</w:t>
      </w:r>
      <w:r w:rsidRPr="00FD33A1">
        <w:rPr>
          <w:rFonts w:ascii="Times New Roman" w:hAnsi="Times New Roman" w:cs="Times New Roman"/>
          <w:color w:val="000000" w:themeColor="text1"/>
        </w:rPr>
        <w:t xml:space="preserve"> we suggest that domination and resistance are mutually imbricated,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the one is always present in the constitution of the other’’.  </w:t>
      </w:r>
    </w:p>
    <w:p w14:paraId="6104E2D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37FF32F" w14:textId="7BE90C2B"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concept of resistance, whilst theoretically useful, lacks an empirical consensus. </w:t>
      </w:r>
      <w:proofErr w:type="spellStart"/>
      <w:r w:rsidRPr="00FD33A1">
        <w:rPr>
          <w:rFonts w:ascii="Times New Roman" w:hAnsi="Times New Roman" w:cs="Times New Roman"/>
          <w:color w:val="000000" w:themeColor="text1"/>
        </w:rPr>
        <w:t>Bayat</w:t>
      </w:r>
      <w:proofErr w:type="spellEnd"/>
      <w:r w:rsidRPr="00FD33A1">
        <w:rPr>
          <w:rFonts w:ascii="Times New Roman" w:hAnsi="Times New Roman" w:cs="Times New Roman"/>
          <w:color w:val="000000" w:themeColor="text1"/>
        </w:rPr>
        <w:t xml:space="preserve"> argues that ‘everyday resistance’ paradigm seems to conflate awareness about oppression with resistance against it. </w:t>
      </w:r>
      <w:proofErr w:type="gramStart"/>
      <w:r w:rsidRPr="00FD33A1">
        <w:rPr>
          <w:rFonts w:ascii="Times New Roman" w:hAnsi="Times New Roman" w:cs="Times New Roman"/>
          <w:color w:val="000000" w:themeColor="text1"/>
        </w:rPr>
        <w:t>If  ‘</w:t>
      </w:r>
      <w:proofErr w:type="gramEnd"/>
      <w:r w:rsidRPr="00FD33A1">
        <w:rPr>
          <w:rFonts w:ascii="Times New Roman" w:hAnsi="Times New Roman" w:cs="Times New Roman"/>
          <w:color w:val="000000" w:themeColor="text1"/>
        </w:rPr>
        <w:t>poor women sing[</w:t>
      </w:r>
      <w:proofErr w:type="spellStart"/>
      <w:r w:rsidRPr="00FD33A1">
        <w:rPr>
          <w:rFonts w:ascii="Times New Roman" w:hAnsi="Times New Roman" w:cs="Times New Roman"/>
          <w:color w:val="000000" w:themeColor="text1"/>
        </w:rPr>
        <w:t>ing</w:t>
      </w:r>
      <w:proofErr w:type="spellEnd"/>
      <w:r w:rsidRPr="00FD33A1">
        <w:rPr>
          <w:rFonts w:ascii="Times New Roman" w:hAnsi="Times New Roman" w:cs="Times New Roman"/>
          <w:color w:val="000000" w:themeColor="text1"/>
        </w:rPr>
        <w:t>] songs about their plight or ridicule[</w:t>
      </w:r>
      <w:proofErr w:type="spellStart"/>
      <w:r w:rsidRPr="00FD33A1">
        <w:rPr>
          <w:rFonts w:ascii="Times New Roman" w:hAnsi="Times New Roman" w:cs="Times New Roman"/>
          <w:color w:val="000000" w:themeColor="text1"/>
        </w:rPr>
        <w:t>ing</w:t>
      </w:r>
      <w:proofErr w:type="spellEnd"/>
      <w:r w:rsidRPr="00FD33A1">
        <w:rPr>
          <w:rFonts w:ascii="Times New Roman" w:hAnsi="Times New Roman" w:cs="Times New Roman"/>
          <w:color w:val="000000" w:themeColor="text1"/>
        </w:rPr>
        <w:t>] men in their private gatherings indicate understanding of gender dynamics’ this in itself may not constitute as acts of resistance (</w:t>
      </w:r>
      <w:proofErr w:type="spellStart"/>
      <w:r w:rsidRPr="00FD33A1">
        <w:rPr>
          <w:rFonts w:ascii="Times New Roman" w:hAnsi="Times New Roman" w:cs="Times New Roman"/>
          <w:color w:val="000000" w:themeColor="text1"/>
        </w:rPr>
        <w:t>Bayat</w:t>
      </w:r>
      <w:proofErr w:type="spellEnd"/>
      <w:r w:rsidRPr="00FD33A1">
        <w:rPr>
          <w:rFonts w:ascii="Times New Roman" w:hAnsi="Times New Roman" w:cs="Times New Roman"/>
          <w:color w:val="000000" w:themeColor="text1"/>
        </w:rPr>
        <w:t xml:space="preserve"> 2013, p. 43). Furthermore, by focusing on resistance – both </w:t>
      </w:r>
      <w:proofErr w:type="spellStart"/>
      <w:r w:rsidRPr="00FD33A1">
        <w:rPr>
          <w:rFonts w:ascii="Times New Roman" w:hAnsi="Times New Roman" w:cs="Times New Roman"/>
          <w:color w:val="000000" w:themeColor="text1"/>
        </w:rPr>
        <w:t>everyday</w:t>
      </w:r>
      <w:proofErr w:type="spellEnd"/>
      <w:r w:rsidRPr="00FD33A1">
        <w:rPr>
          <w:rFonts w:ascii="Times New Roman" w:hAnsi="Times New Roman" w:cs="Times New Roman"/>
          <w:color w:val="000000" w:themeColor="text1"/>
        </w:rPr>
        <w:t xml:space="preserve"> and more explicit forms – we underestimate, on the one hand, the extent to which poor people proactively (rather than reactively) seek political transformation</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{"citationItems":[{"id":"ITEM-1","itemData":{"ISSN":"0306-6150","author":[{"dropping-particle":"","family":"White","given":"Christine Pelzer","non-dropping-particle":"","parse-names":false,"suffix":""}],"container-title":"The Journal of Peasant Studies","id":"ITEM-1","issue":"2","issued":{"date-parts":[["1986"]]},"page":"49-63","publisher":"Taylor &amp; Francis","title":"Everyday resistance, socialist revolution and rural development: the Vietnamese case","type":"article-journal","volume":"13"},"uris":["http://www.mendeley.com/documents/?uuid=e071e804-9836-40c1-bc8f-555b29e25439"]}],"mendeley":{"formattedCitation":"(White, 1986)","plainTextFormattedCitation":"(White, 1986)","previouslyFormattedCitation":"(White, 1986)"},"properties":{"noteIndex":0},"schema":"https://github.com/citation-style-language/schema/raw/master/csl-citation.json"}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(White, 1986)</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and, on the other hand, the way in which poor people ‘encroach’ into social spaces and power positions from which their poverty and social status has excluded them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{"citationItems":[{"id":"ITEM-1","itemData":{"ISBN":"080478633X","author":[{"dropping-particle":"","family":"Bayat","given":"Asef","non-dropping-particle":"","parse-names":false,"suffix":""}],"id":"ITEM-1","issued":{"date-parts":[["2013"]]},"publisher":"Stanford University Press","title":"Life as politics: How ordinary people change the Middle East","type":"book"},"uris":["http://www.mendeley.com/documents/?uuid=0580deab-c50f-4403-9ae8-d77c5b7edcde"]},{"id":"ITEM-2","itemData":{"DOI":"10.1080/03066150.2014.922551","ISSN":"0306-6150","abstract":"The rural proletariat constitute a substantial proportion of the global poor. Leading better lives is central to their political practices. In this paper, I aim to elaborate the political practices that attend to these aspirations, interrogations and contests. I examine existing approaches to studying political practices of the rural proletariat. I do this with a focus on India, where the National Rural Employment Guarantee Act (NREGA) is in force since 2005. I locate the program against the backdrop of neoliberal transformations in India. I then examine the ways in which the rural proletariat engage with the program, even when other opportunities in the agricultural sector are available. Based on these examinations, I argue that the practices spawned by the program are to be understood as ‘encroachments’ into the extant social customs, norms and habits of rural India. This perspective, I contend, is more fruitful than locating the rural proletariat's engagement with the NREGA as a coping strategy or a ta...","author":[{"dropping-particle":"","family":"Roy","given":"Indrajit","non-dropping-particle":"","parse-names":false,"suffix":""}],"container-title":"The Journal of Peasant Studies","id":"ITEM-2","issue":"4","issued":{"date-parts":[["2014","7","4"]]},"page":"517-545","publisher":"Routledge","title":"Reserve labor, unreserved politics: dignified encroachments under India's national rural employment guarantee act","type":"article-journal","volume":"41"},"prefix":"see also","uris":["http://www.mendeley.com/documents/?uuid=5f5029b1-295d-362e-b26c-fe338d12a2e6"]}],"mendeley":{"formattedCitation":"(Bayat, 2013; see also Roy, 2014)","plainTextFormattedCitation":"(Bayat, 2013; see also Roy, 2014)","previouslyFormattedCitation":"(Bayat, 2013; see also Roy, 2014)"},"properties":{"noteIndex":0},"schema":"https://github.com/citation-style-language/schema/raw/master/csl-citation.json"}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(Bayat, 2013; see also Roy, 2014)</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What remains central here is that people have resorted to forms of resistance that are closely connected to their everyday activities. Furthermore, scholars have documented a wide variety of political acts that go beyond coping strategies of resistance or reactive resistance. Chandra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{"citationItems":[{"id":"ITEM-1","itemData":{"ISSN":"0047-2336","author":[{"dropping-particle":"","family":"Chandra","given":"Uday","non-dropping-particle":"","parse-names":false,"suffix":""}],"container-title":"Journal of Contemporary Asia","id":"ITEM-1","issue":"4","issued":{"date-parts":[["2015"]]},"page":"563-573","publisher":"Taylor &amp; Francis","title":"Rethinking Subaltern Resistance","type":"article-journal","volume":"45"},"suppress-author":1,"uris":["http://www.mendeley.com/documents/?uuid=327586c7-e200-4c76-bfd5-58ae643bfcfa"]}],"mendeley":{"formattedCitation":"(2015)","plainTextFormattedCitation":"(2015)","previouslyFormattedCitation":"(2015)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(2015)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t>
      </w:r>
      <w:proofErr w:type="spellStart"/>
      <w:r w:rsidRPr="00FD33A1">
        <w:rPr>
          <w:rFonts w:ascii="Times New Roman" w:hAnsi="Times New Roman" w:cs="Times New Roman"/>
          <w:color w:val="000000" w:themeColor="text1"/>
        </w:rPr>
        <w:t>Picherit</w:t>
      </w:r>
      <w:proofErr w:type="spellEnd"/>
      <w:r w:rsidRPr="00FD33A1">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{"citationItems":[{"id":"ITEM-1","itemData":{"author":[{"dropping-particle":"","family":"Picherit","given":"David","non-dropping-particle":"","parse-names":false,"suffix":""}],"container-title":"The Persistence of Poverty in India, Social Sciences Press, Nueva Delhi","editor":[{"dropping-particle":"","family":"Gooptu","given":"Nandini","non-dropping-particle":"","parse-names":false,"suffix":""},{"dropping-particle":"","family":"Parry","given":"Jonathan","non-dropping-particle":"","parse-names":false,"suffix":""}],"id":"ITEM-1","issued":{"date-parts":[["2014"]]},"page":"261-290","publisher":"Social Science Press","publisher-place":"New Delhi","title":"Neither a dog nor a beggar: seasonal labour migration, development and poverty in Andhra Pradesh","type":"chapter"},"suppress-author":1,"uris":["http://www.mendeley.com/documents/?uuid=5a1fab83-1a8e-4190-97d9-88c909cf870b"]}],"mendeley":{"formattedCitation":"(2014)","plainTextFormattedCitation":"(2014)","previouslyFormattedCitation":"(2014)"},"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(2014)</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and Roy </w:t>
      </w:r>
      <w:r w:rsidRPr="00FD33A1">
        <w:rPr>
          <w:rFonts w:ascii="Times New Roman" w:hAnsi="Times New Roman" w:cs="Times New Roman"/>
          <w:color w:val="000000" w:themeColor="text1"/>
        </w:rPr>
        <w:fldChar w:fldCharType="begin" w:fldLock="1"/>
      </w:r>
      <w:r w:rsidR="00E068E5" w:rsidRPr="00FD33A1">
        <w:rPr>
          <w:rFonts w:ascii="Times New Roman" w:hAnsi="Times New Roman" w:cs="Times New Roman"/>
          <w:color w:val="000000" w:themeColor="text1"/>
        </w:rPr>
        <w:instrText>ADDIN CSL_CITATION {"citationItems":[{"id":"ITEM-1","itemData":{"ISBN":"9781107117181","abstract":"\"Analyses the ways in which the poor engage with politics, highlighting the often contradictory and entangled means by which they advance their claims\"-- Introduction : against false binaries -- Poverty, democracy and political spaces -- From clientelism to citizenship? : the politics of supplications -- From moral vocabularies to languages of stateness? : the politics of applications -- From backwardness to improvement? : the politics of disputation -- From tradition to modernity? : the politics of identification -- Conclusion.","author":[{"dropping-particle":"","family":"Roy","given":"Indrajit","non-dropping-particle":"","parse-names":false,"suffix":""}],"id":"ITEM-1","issued":{"date-parts":[["2018"]]},"publisher":"Cambridge University Press","publisher-place":"Cambridge","title":"Politics of the poor : negotiating democracy in contemporary India","type":"book"},"suppress-author":1,"uris":["http://www.mendeley.com/documents/?uuid=140633f2-6535-3597-8078-9a718404f0eb"]}],"mendeley":{"formattedCitation":"(2018)","plainTextFormattedCitation":"(2018)","previouslyFormattedCitation":"(2018)"},"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00E068E5" w:rsidRPr="00FD33A1">
        <w:rPr>
          <w:rFonts w:ascii="Times New Roman" w:hAnsi="Times New Roman" w:cs="Times New Roman"/>
          <w:noProof/>
          <w:color w:val="000000" w:themeColor="text1"/>
        </w:rPr>
        <w:t>(2018)</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for instance, have pointed out how a great deal of poor people’s politics involves some form of negotiation with the elites. Roy (2015) argues that subaltern practices can be contradictory and can ‘straddle the experiences of co-operation and conflict’</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{"citationItems":[{"id":"ITEM-1","itemData":{"author":[{"dropping-particle":"","family":"Roy","given":"Indrajit","non-dropping-particle":"","parse-names":false,"suffix":""}],"collection-title":"ESID Working Paper","id":"ITEM-1","issued":{"date-parts":[["2015"]]},"number":"46","publisher-place":"Manchester","title":"Class politics and social protection: the implementation of India’s MGNREGA","type":"report"},"locator":"642","uris":["http://www.mendeley.com/documents/?uuid=ee1acc82-5ef1-42ef-b90b-3b28b15baba6"]}],"mendeley":{"formattedCitation":"(Roy, 2015, p. 642)","plainTextFormattedCitation":"(Roy, 2015, p. 642)","previouslyFormattedCitation":"(Roy, 2015, p. 642)"},"properties":{"noteIndex":0},"schema":"https://github.com/citation-style-language/schema/raw/master/csl-citation.json"}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(Roy, 2015, p. 642)</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The subalterns can engage in a range of practices vis-à-vis the elites, which avoid co-optation by the elites but are not conflictual either. At times these practices, Roy argues, enable the subaltern to fulfil their ‘imaginations of change’ such as being able to live in dignity or to be able to give their children a life of dignity. But such imaginations are ‘not predicted on a revolutionary overthrow.’ (Roy, 2015</w:t>
      </w:r>
      <w:r w:rsidR="00A60A50" w:rsidRPr="00FD33A1">
        <w:rPr>
          <w:rFonts w:ascii="Times New Roman" w:hAnsi="Times New Roman" w:cs="Times New Roman"/>
          <w:color w:val="000000" w:themeColor="text1"/>
        </w:rPr>
        <w:t xml:space="preserve">, p. </w:t>
      </w:r>
      <w:r w:rsidRPr="00FD33A1">
        <w:rPr>
          <w:rFonts w:ascii="Times New Roman" w:hAnsi="Times New Roman" w:cs="Times New Roman"/>
          <w:color w:val="000000" w:themeColor="text1"/>
        </w:rPr>
        <w:t>647)</w:t>
      </w:r>
      <w:r w:rsidR="00A60A50" w:rsidRPr="00FD33A1">
        <w:rPr>
          <w:rFonts w:ascii="Times New Roman" w:hAnsi="Times New Roman" w:cs="Times New Roman"/>
          <w:color w:val="000000" w:themeColor="text1"/>
        </w:rPr>
        <w:t>.</w:t>
      </w:r>
    </w:p>
    <w:p w14:paraId="2EA0FCB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10B9327" w14:textId="5A6667FF"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Our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builds on this recent scholarship and puts the rich and the poor in relation with each other not only in terms of oppressors and oppressed, but also as negotiating partners.  India’s rural landed elites do not play the single role of oppressors and India’s rural poor cannot be relegated to the role of the (fatalist, coping or resisting) oppressed. Instead, we see them as engaged in various processes of negotiation that creates spaces for positive social change and inclusion or, depending on local conditions as others have shown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author":[{"dropping-particle":"","family":"Harriss","given":"John","non-dropping-particle":"","parse-names":false,"suffix":""}],"container-title":"Seminar","id":"ITEM-1","issue":"633","issued":{"date-parts":[["2012"]]},"title":"Reflections on caste and class, hierarchy and dominance","type":"article-journal"},"uris":["http://www.mendeley.com/documents/?uuid=1034bb12-ea65-43ac-918f-29cc5fa80a6b"]},{"id":"ITEM-2","itemData":{"ISBN":"9780199468157","abstract":"Specialized. First edition. This edition previously issued in print: 2017. In this ethnographic account of Dalit politics in Tamil Nadu, the author discusses how caste considerations inform and underpin politics in the state. With its micro-empirical focus on the journey of Viduthalai Chiruthaigal Katchi (Liberation Panthers Party) in Tamil Nadu, it also explores diverse dimensions of mobilisation and ways in which contentious politics alters political regimes.","author":[{"dropping-particle":"","family":"Gorringe","given":"Hugo","non-dropping-particle":"","parse-names":false,"suffix":""}],"id":"ITEM-2","issued":{"date-parts":[["2017"]]},"publisher":"Oxford University Press","publisher-place":"New Delhi","title":"Panthers in parliament : Dalits, caste, and political power in South India","type":"book"},"uris":["http://www.mendeley.com/documents/?uuid=3ecec1d1-49f1-3be3-92db-d718573a1cfa"]},{"id":"ITEM-3","itemData":{"DOI":"10.4324/9780203861332","ISBN":"0203861337","author":[{"dropping-particle":"","family":"Heyer","given":"Judith","non-dropping-particle":"","parse-names":false,"suffix":""}],"container-title":"The Comparative Political Economy of Development: Africa and South Asia","id":"ITEM-3","issued":{"date-parts":[["2012"]]},"title":"The marginalisation of Dalits in a modernising economy","type":"chapter"},"uris":["http://www.mendeley.com/documents/?uuid=861090b0-6387-4b62-8359-70c7c06d6b07"]}],"mendeley":{"formattedCitation":"(Gorringe, 2017; Harriss, 2012; Heyer, 2012)","plainTextFormattedCitation":"(Gorringe, 2017; Harriss, 2012; Heyer, 2012)","previouslyFormattedCitation":"(Gorringe, 2017; Harriss, 2012; Heyer, 2012)"},"properties":{"noteIndex":0},"schema":"https://github.com/citation-style-language/schema/raw/master/csl-citation.json"}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(Gorringe, 2017; Harriss, 2012; Heyer, 2012)</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to new forms of oppression and domination. </w:t>
      </w:r>
    </w:p>
    <w:p w14:paraId="6419327B"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5B28781"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In the next section, we briefly refer to existing literature on the erosion of caste hierarchies and of patron-client relationships and which constitutes the point of departure of our empirical analysis.</w:t>
      </w:r>
    </w:p>
    <w:p w14:paraId="1D052C25"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p>
    <w:p w14:paraId="6A7B3778" w14:textId="4BAAC77D" w:rsidR="00504C4D" w:rsidRPr="00FD33A1" w:rsidRDefault="009D79B3" w:rsidP="00CF2606">
      <w:pPr>
        <w:widowControl w:val="0"/>
        <w:tabs>
          <w:tab w:val="left" w:pos="5103"/>
        </w:tabs>
        <w:autoSpaceDE w:val="0"/>
        <w:autoSpaceDN w:val="0"/>
        <w:adjustRightInd w:val="0"/>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t>EROSION OF TRADITIONAL FORMS OF AUTHORITY</w:t>
      </w:r>
    </w:p>
    <w:p w14:paraId="140BE0F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6C3476B"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C9790DD" w14:textId="6D178999" w:rsidR="00504C4D" w:rsidRPr="00FD33A1" w:rsidRDefault="00504C4D" w:rsidP="00CF2606">
      <w:pPr>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One dimension of the amelioration of the living conditions of India’s poor are the widely analysed emancipatory processes that have accompanied and reinforced the positive changes in poor people’s material existence. A number of scholars have argued that rising educational levels, increased availability of non-farm employment, social protection policies and politicization of the lower classes/castes have resulted in the reduced dependency of lower caste labourers on local landed elites and this has in certain contexts strengthened poor people’s relative power vis-à-vis local elites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{"citationItems":[{"id":"ITEM-1","itemData":{"ISBN":"0195630874","author":[{"dropping-particle":"","family":"Breman","given":"Jan","non-dropping-particle":"","parse-names":false,"suffix":""}],"id":"ITEM-1","issued":{"date-parts":[["1993"]]},"publisher":"Oxford University Press","publisher-place":"New Delhi","title":"Beyond patronage and exploitation: changing agrarian relations in South Gujarat.","type":"book"},"uris":["http://www.mendeley.com/documents/?uuid=ac182ccc-73b7-474e-9624-cf1c753ff224"]},{"id":"ITEM-2","itemData":{"ISSN":"0306-6150","author":[{"dropping-particle":"","family":"Lerche","given":"Jens","non-dropping-particle":"","parse-names":false,"suffix":""}],"container-title":"The Journal of Peasant Studies","id":"ITEM-2","issue":"2-3","issued":{"date-parts":[["1999"]]},"page":"182-241","publisher":"Taylor &amp; Francis","title":"Politics of the poor: Agricultural labourers and political transformations in Uttar Pradesh","type":"article-journal","volume":"26"},"uris":["http://www.mendeley.com/documents/?uuid=80df2248-c1e8-438f-b5d5-9871d23527e8"]},{"id":"ITEM-3","itemData":{"ISBN":"071908914X","author":[{"dropping-particle":"","family":"Pattenden","given":"Jonathan","non-dropping-particle":"","parse-names":false,"suffix":""}],"id":"ITEM-3","issued":{"date-parts":[["2016"]]},"publisher":"Manchester University Press","publisher-place":"Manchester","title":"Labour, state and society in rural India: A class-relational approach","type":"book"},"uris":["http://www.mendeley.com/documents/?uuid=80f7844a-02e4-4a30-9c90-5a10defb66ef"]},{"id":"ITEM-4","itemData":{"ISSN":"0012-9976","author":[{"dropping-particle":"","family":"Djurfeldt","given":"Göran","non-dropping-particle":"","parse-names":false,"suffix":""},{"dropping-particle":"","family":"Athreya","given":"Venkatesh","non-dropping-particle":"","parse-names":false,"suffix":""},{"dropping-particle":"","family":"Jayakumar","given":"N","non-dropping-particle":"","parse-names":false,"suffix":""},{"dropping-particle":"","family":"Lindberg","given":"Staffan","non-dropping-particle":"","parse-names":false,"suffix":""},{"dropping-particle":"","family":"Rajagopal","given":"A","non-dropping-particle":"","parse-names":false,"suffix":""},{"dropping-particle":"","family":"Vidyasagar","given":"R","non-dropping-particle":"","parse-names":false,"suffix":""}],"container-title":"Economic and Political Weekly","id":"ITEM-4","issued":{"date-parts":[["2008"]]},"page":"50-61","publisher":"JSTOR","title":"Agrarian change and social mobility in Tamil Nadu","type":"article-journal"},"uris":["http://www.mendeley.com/documents/?uuid=bbdde8d1-4481-429f-900d-03c80fbb65d3"]},{"id":"ITEM-5","itemData":{"author":[{"dropping-particle":"","family":"Harriss","given":"John","non-dropping-particle":"","parse-names":false,"suffix":""},{"dropping-particle":"","family":"Jeyaranjan","given":"J.","non-dropping-particle":"","parse-names":false,"suffix":""}],"container-title":"The Changing Village in India - Insights from Longitudinal Research","editor":[{"dropping-particle":"","family":"Himanshu","given":"H","non-dropping-particle":"","parse-names":false,"suffix":""},{"dropping-particle":"","family":"Jha","given":"Praveen","non-dropping-particle":"","parse-names":false,"suffix":""},{"dropping-particle":"","family":"Rodgers","given":"Gerry","non-dropping-particle":"","parse-names":false,"suffix":""}],"id":"ITEM-5","issued":{"date-parts":[["2016"]]},"publisher":"Oxford University Press","publisher-place":"New Delhi","title":"Rural Tamil Nadu in the Liberalization Era: What Do We Learn from Village Studies?","type":"chapter"},"uris":["http://www.mendeley.com/documents/?uuid=8607ece3-278c-4c31-a950-f740d2b6fa66"]},{"id":"ITEM-6","itemData":{"ISSN":"0012-9976","author":[{"dropping-particle":"","family":"Harriss","given":"John","non-dropping-particle":"","parse-names":false,"suffix":""},{"dropping-particle":"","family":"Jeyaranjan","given":"J","non-dropping-particle":"","parse-names":false,"suffix":""},{"dropping-particle":"","family":"Nagaraj","given":"K","non-dropping-particle":"","parse-names":false,"suffix":""}],"container-title":"Economic and Political Weekly","id":"ITEM-6","issued":{"date-parts":[["2010"]]},"page":"47-61","publisher":"JSTOR","title":"Land, labour and caste politics in rural Tamil Nadu in the 20th century: Iruvelpattu (1916-2008)","type":"article-journal"},"uris":["http://www.mendeley.com/documents/?uuid=56f27d48-ac7a-4f1a-8a59-1de940161e5f"]},{"id":"ITEM-7","itemData":{"ISSN":"0012-9976","author":[{"dropping-particle":"","family":"Rodgers","given":"Gerry","non-dropping-particle":"","parse-names":false,"suffix":""},{"dropping-particle":"","family":"Rodgers","given":"Janine","non-dropping-particle":"","parse-names":false,"suffix":""}],"container-title":"Economic and Political Weekly","id":"ITEM-7","issued":{"date-parts":[["2011"]]},"page":"43-50","publisher":"JSTOR","title":"Inclusive development? Migration, governance and social change in rural Bihar","type":"article-journal"},"uris":["http://www.mendeley.com/documents/?uuid=16fbaa0c-72d7-411f-9f53-19d641bd5516"]},{"id":"ITEM-8","itemData":{"author":[{"dropping-particle":"","family":"Gorringe","given":"Hugo","non-dropping-particle":"","parse-names":false,"suffix":""}],"container-title":"The Comparative Political Economy of Development: Africa and South Asia","editor":[{"dropping-particle":"","family":"Harriss-White","given":"Barbara","non-dropping-particle":"","parse-names":false,"suffix":""},{"dropping-particle":"","family":"Heyer","given":"Judith","non-dropping-particle":"","parse-names":false,"suffix":""}],"id":"ITEM-8","issued":{"date-parts":[["2010"]]},"page":"248-266","publisher":"Routledge","publisher-place":"Oxon","title":"Shifting the “Grindstone of Caste”? Decreasing Dependency among Dalit Labourers in Tamil Nadu","type":"chapter"},"uris":["http://www.mendeley.com/documents/?uuid=a36bd6f3-7761-4cb5-8ead-fb04c50cebc7"]},{"id":"ITEM-9","itemData":{"author":[{"dropping-particle":"","family":"Jodhka","given":"Surinder S","non-dropping-particle":"","parse-names":false,"suffix":""}],"container-title":"The Changing Village in India - Insights from Longitudinal Research","editor":[{"dropping-particle":"","family":"Himanshu","given":"H","non-dropping-particle":"","parse-names":false,"suffix":""},{"dropping-particle":"","family":"Jha","given":"Praveen","non-dropping-particle":"","parse-names":false,"suffix":""},{"dropping-particle":"","family":"Rodgers","given":"Gerry","non-dropping-particle":"","parse-names":false,"suffix":""}],"id":"ITEM-9","issued":{"date-parts":[["2016"]]},"publisher":"Oxford University Press","publisher-place":"New Delhi","title":"A Forgotten 'Revolution': Revisiting Rural Life and Agrarian Change in Haryana","type":"chapter"},"uris":["http://www.mendeley.com/documents/?uuid=7992000f-aad3-4d75-bca1-2b45f6f49776"]}],"mendeley":{"formattedCitation":"(Breman, 1993; Djurfeldt et al., 2008; Gorringe, 2010; Harriss &amp; Jeyaranjan, 2016; Harriss, Jeyaranjan, &amp; Nagaraj, 2010; Jodhka, 2016; Lerche, 1999; Pattenden, 2016; Rodgers &amp; Rodgers, 2011)","plainTextFormattedCitation":"(Breman, 1993; Djurfeldt et al., 2008; Gorringe, 2010; Harriss &amp; Jeyaranjan, 2016; Harriss, Jeyaranjan, &amp; Nagaraj, 2010; Jodhka, 2016; Lerche, 1999; Pattenden, 2016; Rodgers &amp; Rodgers, 2011)","previouslyFormattedCitation":"(Breman, 1993; Djurfeldt et al., 2008; Gorringe, 2010; Harriss &amp; Jeyaranjan, 2016; Harriss, Jeyaranjan, &amp; Nagaraj, 2010; Jodhka, 2016; Lerche, 1999; Pattenden, 2016; Rodgers &amp; Rodgers, 2011)"},"properties":{"noteIndex":0},"schema":"https://github.com/citation-style-language/schema/raw/master/csl-citation.json"}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(Breman, 1993; Djurfeldt et al., 2008; Gorringe, 2010; Harriss &amp; Jeyaranjan, 2016; Harriss, Jeyaranjan, &amp; Nagaraj, 2010; Jodhka, 2016; Lerche, 1999; Pattenden, 2016; Rodgers &amp; Rodgers, 2011)</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Furthermore, the long-term crisis in which India’s agriculture has been engulfed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Mishra","given":"S","non-dropping-particle":"","parse-names":false,"suffix":""}],"id":"ITEM-1","issued":{"date-parts":[["2007"]]},"publisher":"IGIDR","publisher-place":"Mumbai","title":"Agrarian scenario in post-reform India: A story of distress, despair and death","type":"report"},"uris":["http://www.mendeley.com/documents/?uuid=6dcd07b2-a881-474d-a6c0-9d0324bfd31e"]}],"mendeley":{"formattedCitation":"(Mishra, 2007)","plainTextFormattedCitation":"(Mishra, 2007)","previouslyFormattedCitation":"(Mishra, 2007)"},"properties":{"noteIndex":0},"schema":"https://github.com/citation-style-language/schema/raw/master/csl-citation.json"}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(Mishra, 2007)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coupled with the ongoing process of land fragmentation across the generations, means that the material base of the upper caste’s dominance is continuously being eroded. This is notwithstanding the fact that many dominant caste families have successfully differentiated their sources of income and assets and have, in many cases, been able to re-assert their dominance through different channels</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{"citationItems":[{"id":"ITEM-1","itemData":{"ISBN":"071908914X","author":[{"dropping-particle":"","family":"Pattenden","given":"Jonathan","non-dropping-particle":"","parse-names":false,"suffix":""}],"id":"ITEM-1","issued":{"date-parts":[["2016"]]},"publisher":"Manchester University Press","publisher-place":"Manchester","title":"Labour, state and society in rural India: A class-relational approach","type":"book"},"uris":["http://www.mendeley.com/documents/?uuid=80f7844a-02e4-4a30-9c90-5a10defb66ef"]},{"id":"ITEM-2","itemData":{"DOI":"10.1111/1475-5661.00016","ISBN":"0130259470","ISSN":"0020-2754","abstract":"This paper explores the spatiality of caste and power in contemporary rural north India. I aim to introduce the social institution of caste to a non-specialist audience and illustrate how caste is changing. The paper draws upon Pierre Bourdieu's notions of social capital and habitus and the India-based research of Srinivas (1955) and Mendelsohn (1993). I argue that while caste as a religiously sanctioned system of resource transfer is in decline, caste organization and identity are important forms of social or symbolic capital for rural elites. Drawing on detailed empirical research in western Uttar Pradesh, I demonstrate the continuing importance of caste dominance in the reproduction of social inequality and relate caste to other axes of power.","author":[{"dropping-particle":"","family":"Jeffrey","given":"Craig","non-dropping-particle":"","parse-names":false,"suffix":""}],"container-title":"Transitions of the Institute of British Geographers","id":"ITEM-2","issued":{"date-parts":[["2001"]]},"page":"217-236","title":"' A fist is stronger than five fingers ': caste and dominance in rural north India","type":"article-journal","volume":"26"},"uris":["http://www.mendeley.com/documents/?uuid=a5258930-5f47-4254-a38a-b4c842640150"]},{"id":"ITEM-3","itemData":{"ISSN":"0038-0229","author":[{"dropping-particle":"","family":"Gupta","given":"Priyanshu","non-dropping-particle":"","parse-names":false,"suffix":""},{"dropping-particle":"","family":"Thakur","given":"Manish","non-dropping-particle":"","parse-names":false,"suffix":""}],"container-title":"Sociological Bulletin","id":"ITEM-3","issue":"1","issued":{"date-parts":[["2017"]]},"page":"42-57","publisher":"SAGE Publications Sage India: New Delhi, India","title":"The Changing Rural-agrarian Dominance: A Conceptual Excursus","type":"article-journal","volume":"66"},"uris":["http://www.mendeley.com/documents/?uuid=4071c970-f597-4586-9479-b2dc0f4423d8"]}],"mendeley":{"formattedCitation":"(P. Gupta &amp; Thakur, 2017; Jeffrey, 2001; Pattenden, 2016)","plainTextFormattedCitation":"(P. Gupta &amp; Thakur, 2017; Jeffrey, 2001; Pattenden, 2016)","previouslyFormattedCitation":"(P. Gupta &amp; Thakur, 2017; Jeffrey, 2001; Pattenden, 2016)"},"properties":{"noteIndex":0},"schema":"https://github.com/citation-style-language/schema/raw/master/csl-citation.json"}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(P. Gupta &amp; Thakur, 2017; Jeffrey, 2001; Pattenden, 2016)</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In addition, as Deshpande and Ramachandran</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{"citationItems":[{"id":"ITEM-1","itemData":{"DOI":"10.1016/J.WORLDDEV.2019.02.006","ISSN":"0305-750X","abstract":"We compare successive age cohorts of three broad social groups – Scheduled Castes and Tribes (SC-STs), Other Backward Classes (OBCs) and “Others” and provide the first disaggregated picture of the evolution of inter-caste disparities in India. The results show that absolute caste gaps in years of schooling and prestigious occupation of white-collar jobs have remained static, whereas log wages below the median have convergence and above the median diverged. Examining extension of job quotas to OBCs in 1993, we find positive effects of affirmative action on probability of holding government jobs, as well as on secondary schooling completion.","author":[{"dropping-particle":"","family":"Deshpande","given":"Ashwini","non-dropping-particle":"","parse-names":false,"suffix":""},{"dropping-particle":"","family":"Ramachandran","given":"Rajesh","non-dropping-particle":"","parse-names":false,"suffix":""}],"container-title":"World Development","id":"ITEM-1","issued":{"date-parts":[["2019","6","1"]]},"page":"63-78","publisher":"Pergamon","title":"Traditional hierarchies and affirmative action in a globalizing economy: Evidence from India","type":"article-journal","volume":"118"},"uris":["http://www.mendeley.com/documents/?uuid=17e3804c-67c2-3e9d-8d83-a6d878c22ba0"]}],"mendeley":{"formattedCitation":"(Deshpande &amp; Ramachandran, 2019)","plainTextFormattedCitation":"(Deshpande &amp; Ramachandran, 2019)","previouslyFormattedCitation":"(Deshpande &amp; Ramachandran, 2019)"},"properties":{"noteIndex":0},"schema":"https://github.com/citation-style-language/schema/raw/master/csl-citation.json"}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(Deshpande &amp; Ramachandran, 2019)</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show, inequalities (both in income levels and in access to opportunities) between caste groups remain high and are widening (except for those at the very bottom of the economic and social scale, who have been slowly catching up).</w:t>
      </w:r>
    </w:p>
    <w:p w14:paraId="4D9D4294"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p>
    <w:p w14:paraId="25100EDE" w14:textId="658DF4A5"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One of the consequences (as well as a contributory factor) of these emancipatory processes has been the parallel (and mutually reinforcing) erosion of personalistic patron-client relationships and of traditional caste hierarchies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{"citationItems":[{"id":"ITEM-1","itemData":{"author":[{"dropping-particle":"","family":"Manor","given":"James","non-dropping-particle":"","parse-names":false,"suffix":""}],"container-title":"Seminar","id":"ITEM-1","issued":{"date-parts":[["2012"]]},"title":"Accommodation and conflict","type":"article-journal","volume":"633"},"uris":["http://www.mendeley.com/documents/?uuid=2ede38b6-77d7-4d13-966a-556517ef4d8e"]},{"id":"ITEM-2","itemData":{"ISSN":"0162-0436","author":[{"dropping-particle":"","family":"Price","given":"Pamela","non-dropping-particle":"","parse-names":false,"suffix":""}],"container-title":"Qualitative sociology","id":"ITEM-2","issue":"3","issued":{"date-parts":[["2006"]]},"page":"301-316","publisher":"Springer","title":"Changing meanings of authority in contemporary rural India","type":"article-journal","volume":"29"},"uris":["http://www.mendeley.com/documents/?uuid=cf64cb6f-d4fc-42bb-bc13-68cd21930212"]},{"id":"ITEM-3","itemData":{"ISSN":"1469-8099","author":[{"dropping-particle":"","family":"Mendelsohn","given":"Oliver","non-dropping-particle":"","parse-names":false,"suffix":""}],"container-title":"Modern Asian Studies","id":"ITEM-3","issue":"04","issued":{"date-parts":[["1993"]]},"page":"805-842","publisher":"Cambridge Univ Press","title":"The transformation of authority in rural India","type":"article-journal","volume":"27"},"uris":["http://www.mendeley.com/documents/?uuid=a430c0d1-267a-4251-b9bf-8cca79b5866d"]}],"mendeley":{"formattedCitation":"(Manor, 2012; Mendelsohn, 1993; Price, 2006)","plainTextFormattedCitation":"(Manor, 2012; Mendelsohn, 1993; Price, 2006)","previouslyFormattedCitation":"(Manor, 2012; Mendelsohn, 1993; Price, 2006)"},"properties":{"noteIndex":0},"schema":"https://github.com/citation-style-language/schema/raw/master/csl-citation.json"}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(Manor, 2012; Mendelsohn, 1993; Price, 2006)</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While caste relations have come to denote ‘difference’ rather than ‘hierarchy’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{"citationItems":[{"id":"ITEM-1","itemData":{"ISBN":"0140297065","author":[{"dropping-particle":"","family":"Gupta","given":"Dipankar","non-dropping-particle":"","parse-names":false,"suffix":""}],"id":"ITEM-1","issued":{"date-parts":[["2000"]]},"publisher":"Penguin Books India","title":"Interrogating caste: Understanding hierarchy and difference in Indian society","type":"book"},"uris":["http://www.mendeley.com/documents/?uuid=43a7f033-e499-4251-8682-fe889da7b0e8"]}],"mendeley":{"formattedCitation":"(D. Gupta, 2000)","plainTextFormattedCitation":"(D. Gupta, 2000)","previouslyFormattedCitation":"(D. Gupta, 2000)"},"properties":{"noteIndex":0},"schema":"https://github.com/citation-style-language/schema/raw/master/csl-citation.json"}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 xml:space="preserve">(D. </w:t>
      </w:r>
      <w:r w:rsidRPr="00FD33A1">
        <w:rPr>
          <w:rFonts w:ascii="Times New Roman" w:hAnsi="Times New Roman" w:cs="Times New Roman"/>
          <w:noProof/>
          <w:color w:val="000000" w:themeColor="text1"/>
        </w:rPr>
        <w:lastRenderedPageBreak/>
        <w:t>Gupta, 2000)</w:t>
      </w:r>
      <w:r w:rsidRPr="00FD33A1">
        <w:rPr>
          <w:rFonts w:ascii="Times New Roman" w:hAnsi="Times New Roman" w:cs="Times New Roman"/>
          <w:color w:val="000000" w:themeColor="text1"/>
        </w:rPr>
        <w:fldChar w:fldCharType="end"/>
      </w:r>
      <w:r w:rsidRPr="00FD33A1">
        <w:rPr>
          <w:rStyle w:val="Rimandonotaapidipagina"/>
          <w:rFonts w:ascii="Times New Roman" w:hAnsi="Times New Roman" w:cs="Times New Roman"/>
          <w:color w:val="000000" w:themeColor="text1"/>
        </w:rPr>
        <w:footnoteReference w:id="14"/>
      </w:r>
      <w:r w:rsidRPr="00FD33A1">
        <w:rPr>
          <w:rFonts w:ascii="Times New Roman" w:hAnsi="Times New Roman" w:cs="Times New Roman"/>
          <w:color w:val="000000" w:themeColor="text1"/>
        </w:rPr>
        <w:t>, relations between patron and clients have become ‘</w:t>
      </w:r>
      <w:proofErr w:type="spellStart"/>
      <w:r w:rsidRPr="00FD33A1">
        <w:rPr>
          <w:rFonts w:ascii="Times New Roman" w:hAnsi="Times New Roman" w:cs="Times New Roman"/>
          <w:color w:val="000000" w:themeColor="text1"/>
        </w:rPr>
        <w:t>marketised</w:t>
      </w:r>
      <w:proofErr w:type="spellEnd"/>
      <w:r w:rsidRPr="00FD33A1">
        <w:rPr>
          <w:rFonts w:ascii="Times New Roman" w:hAnsi="Times New Roman" w:cs="Times New Roman"/>
          <w:color w:val="000000" w:themeColor="text1"/>
        </w:rPr>
        <w:t xml:space="preserve">’: poor (and low caste) people, rather than offering their services to rich patrons, out of deference and adherence to traditional social norms, do so only in exchange of payments or other forms of compensation. Within these changing contours of the political economy of labour, one very wealthy landowner from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in Andhra Pradesh stated: ‘it used to be a personal relation between us and the workers. Now it is all about the money. Our relations are based on single transactions rather than on a continuous relationship’</w:t>
      </w:r>
      <w:r w:rsidR="002418F6">
        <w:rPr>
          <w:rFonts w:ascii="Times New Roman" w:hAnsi="Times New Roman" w:cs="Times New Roman"/>
          <w:color w:val="000000" w:themeColor="text1"/>
        </w:rPr>
        <w:t>.</w:t>
      </w:r>
      <w:r w:rsidR="00486CFA">
        <w:rPr>
          <w:rStyle w:val="Rimandonotaapidipagina"/>
          <w:rFonts w:ascii="Times New Roman" w:hAnsi="Times New Roman" w:cs="Times New Roman"/>
          <w:color w:val="000000" w:themeColor="text1"/>
        </w:rPr>
        <w:footnoteReference w:id="15"/>
      </w:r>
      <w:r w:rsidRPr="00FD33A1">
        <w:rPr>
          <w:rFonts w:ascii="Times New Roman" w:hAnsi="Times New Roman" w:cs="Times New Roman"/>
          <w:color w:val="000000" w:themeColor="text1"/>
        </w:rPr>
        <w:t xml:space="preserve"> While this does not mean that caste has lost its importance as a social identity, or that relations are still not personalised to a certain degree, it indicates that the traditional </w:t>
      </w:r>
      <w:proofErr w:type="spellStart"/>
      <w:r w:rsidRPr="00FD33A1">
        <w:rPr>
          <w:rFonts w:ascii="Times New Roman" w:hAnsi="Times New Roman" w:cs="Times New Roman"/>
          <w:i/>
          <w:color w:val="000000" w:themeColor="text1"/>
        </w:rPr>
        <w:t>jajmani</w:t>
      </w:r>
      <w:proofErr w:type="spellEnd"/>
      <w:r w:rsidRPr="00FD33A1">
        <w:rPr>
          <w:rFonts w:ascii="Times New Roman" w:hAnsi="Times New Roman" w:cs="Times New Roman"/>
          <w:i/>
          <w:color w:val="000000" w:themeColor="text1"/>
        </w:rPr>
        <w:t xml:space="preserve"> </w:t>
      </w:r>
      <w:r w:rsidRPr="00FD33A1">
        <w:rPr>
          <w:rFonts w:ascii="Times New Roman" w:hAnsi="Times New Roman" w:cs="Times New Roman"/>
          <w:color w:val="000000" w:themeColor="text1"/>
        </w:rPr>
        <w:t xml:space="preserve">system has lost the central relevance that it used to have in India’s villages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{"citationItems":[{"id":"ITEM-1","itemData":{"DOI":"10.1111/1475-5661.00016","ISBN":"0130259470","ISSN":"0020-2754","abstract":"This paper explores the spatiality of caste and power in contemporary rural north India. I aim to introduce the social institution of caste to a non-specialist audience and illustrate how caste is changing. The paper draws upon Pierre Bourdieu's notions of social capital and habitus and the India-based research of Srinivas (1955) and Mendelsohn (1993). I argue that while caste as a religiously sanctioned system of resource transfer is in decline, caste organization and identity are important forms of social or symbolic capital for rural elites. Drawing on detailed empirical research in western Uttar Pradesh, I demonstrate the continuing importance of caste dominance in the reproduction of social inequality and relate caste to other axes of power.","author":[{"dropping-particle":"","family":"Jeffrey","given":"Craig","non-dropping-particle":"","parse-names":false,"suffix":""}],"container-title":"Transitions of the Institute of British Geographers","id":"ITEM-1","issued":{"date-parts":[["2001"]]},"page":"217-236","title":"' A fist is stronger than five fingers ': caste and dominance in rural north India","type":"article-journal","volume":"26"},"uris":["http://www.mendeley.com/documents/?uuid=a5258930-5f47-4254-a38a-b4c842640150"]},{"id":"ITEM-2","itemData":{"DOI":"10.1111/joac.12054","ISSN":"14710358","author":[{"dropping-particle":"","family":"Carswell","given":"Grace","non-dropping-particle":"","parse-names":false,"suffix":""},{"dropping-particle":"","family":"Neve","given":"Geert","non-dropping-particle":"De","parse-names":false,"suffix":""}],"container-title":"Journal of Agrarian Change","id":"ITEM-2","issue":"4","issued":{"date-parts":[["2014"]]},"page":"564-85","title":"MGNREGA in Tamil Nadu: A Story of Success and Transformation?","type":"article-journal","volume":"14"},"uris":["http://www.mendeley.com/documents/?uuid=6cb25484-dfb9-41cc-9c43-25dc11e0384b"]}],"mendeley":{"formattedCitation":"(Carswell &amp; De Neve, 2014; Jeffrey, 2001)","plainTextFormattedCitation":"(Carswell &amp; De Neve, 2014; Jeffrey, 2001)","previouslyFormattedCitation":"(Carswell &amp; De Neve, 2014; Jeffrey, 2001)"},"properties":{"noteIndex":0},"schema":"https://github.com/citation-style-language/schema/raw/master/csl-citation.json"}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(Carswell &amp; De Neve, 2014; Jeffrey, 2001)</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w:t>
      </w:r>
      <w:r w:rsidRPr="00FD33A1">
        <w:rPr>
          <w:rStyle w:val="Rimandonotaapidipagina"/>
          <w:rFonts w:ascii="Times New Roman" w:hAnsi="Times New Roman" w:cs="Times New Roman"/>
          <w:color w:val="000000" w:themeColor="text1"/>
        </w:rPr>
        <w:footnoteReference w:id="16"/>
      </w:r>
    </w:p>
    <w:p w14:paraId="7417321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8E97539" w14:textId="2D45AAD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concomitant erosion of caste hierarchies and of patron-client relations has contributed significantly to the emancipation of India’s poor. However, this somewhat enchanting picture needs some qualifications. First, the erosion of caste hierarchies and of patron-client relationship has been uneven across India.  Very generally speaking – and keeping in mind that the way in which caste relations are modified and renegotiated is a highly localised phenomenon – the dominance of the upper castes and the stigmatisation of Dalits seem to be more persistent in North and Central India for both historical and demographic reasons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{"citationItems":[{"id":"ITEM-1","itemData":{"DOI":"10.1111/dech.12311","ISSN":"0012155X","author":[{"dropping-particle":"","family":"Borooah","given":"Vani Kant","non-dropping-particle":"","parse-names":false,"suffix":""}],"container-title":"Development and Change","id":"ITEM-1","issue":"4","issued":{"date-parts":[["2017","7","1"]]},"page":"746-774","title":"Caste and Regional Influences on the Practice of ‘Untouchability’ in India","type":"article-journal","volume":"48"},"uris":["http://www.mendeley.com/documents/?uuid=c5ded6f8-cdb6-3813-aaa4-053a6767eaac"]}],"mendeley":{"formattedCitation":"(Borooah, 2017)","plainTextFormattedCitation":"(Borooah, 2017)","previouslyFormattedCitation":"(Borooah, 2017)"},"properties":{"noteIndex":0},"schema":"https://github.com/citation-style-language/schema/raw/master/csl-citation.json"}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(Borooah, 2017)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Second, erosion does not mean ‘disappearance’. We use the word erosion here in the same way as a geologist would talk about how the wind and the rain may erode a mountain over the course of thousands of years. In fact, both patronage and hierarchical caste relations (especially at the extremes of the caste ladder) are still a crucial feature of India’s democracy</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author":[{"dropping-particle":"","family":"Piliavski","given":"A.","non-dropping-particle":"","parse-names":false,"suffix":""}],"editor":[{"dropping-particle":"","family":"Piliavsky","given":"A.","non-dropping-particle":"","parse-names":false,"suffix":""}],"id":"ITEM-1","issued":{"date-parts":[["2015"]]},"publisher":"Cambridge University Press","publisher-place":"Cambridge","title":"Patronage as politics in South Asia","type":"book"},"uris":["http://www.mendeley.com/documents/?uuid=7089d98a-e884-4f1a-82e4-4cc5448f282f"]}],"mendeley":{"formattedCitation":"(Piliavski, 2015)","plainTextFormattedCitation":"(Piliavski, 2015)","previouslyFormattedCitation":"(Piliavski, 2015)"},"properties":{"noteIndex":0},"schema":"https://github.com/citation-style-language/schema/raw/master/csl-citation.json"}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(Piliavski, 2015)</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Also, while we argue that Dalits’ dependency on upper caste landowners has decreased and allowed them to engage in negotiations with them, this does not by any means entail that dependency has disappeared. What we see is a greater awareness among both Dalits and the landed elites of their mutual interdependency. As we will see in greater detail in the next section, Dalits are fully aware that, in a context of shortage of labour, mainly due to high rates of migration towards urban centres, local availability of (more remunerative) non-farm work (including policies like the MGNREGA), landowners </w:t>
      </w:r>
      <w:r w:rsidRPr="00FD33A1">
        <w:rPr>
          <w:rFonts w:ascii="Times New Roman" w:hAnsi="Times New Roman" w:cs="Times New Roman"/>
          <w:color w:val="000000" w:themeColor="text1"/>
        </w:rPr>
        <w:lastRenderedPageBreak/>
        <w:t xml:space="preserve">depend on them to carry out agricultural activities that must be done within a short period of time (such as sowing, irrigating or harvesting). This gives them some leverage in negotiations during the agricultural peak season, but the effects extend to the rest of the year, when the shortage of labour is less acute. In fact, a recurring theme of our interviews was that labourers agree to work for a certain landowner only if they treat them ‘with respect’ not only at work, but in their everyday interactions. Landowners, on the other hand, told us repeatedly that the need to secure enough labourers is a constant source of anxiety and generates competition amongst them: ‘the workers exploit our anxiety and the lack of coordination among us’ to extract concessions and higher wages. The same farmer continued: ‘they are very arrogant. They respond in very arrogant ways when we ask them something.  The problem is that some agricultural activities are very time-bound. We can’t wait for more than a week to do certain things. And they know </w:t>
      </w:r>
      <w:proofErr w:type="gramStart"/>
      <w:r w:rsidRPr="00FD33A1">
        <w:rPr>
          <w:rFonts w:ascii="Times New Roman" w:hAnsi="Times New Roman" w:cs="Times New Roman"/>
          <w:color w:val="000000" w:themeColor="text1"/>
        </w:rPr>
        <w:t>that</w:t>
      </w:r>
      <w:proofErr w:type="gramEnd"/>
      <w:r w:rsidRPr="00FD33A1">
        <w:rPr>
          <w:rFonts w:ascii="Times New Roman" w:hAnsi="Times New Roman" w:cs="Times New Roman"/>
          <w:color w:val="000000" w:themeColor="text1"/>
        </w:rPr>
        <w:t xml:space="preserve"> and they exploit the situation’.</w:t>
      </w:r>
      <w:r w:rsidRPr="00FD33A1">
        <w:rPr>
          <w:rStyle w:val="Rimandonotaapidipagina"/>
          <w:rFonts w:ascii="Times New Roman" w:hAnsi="Times New Roman" w:cs="Times New Roman"/>
          <w:color w:val="000000" w:themeColor="text1"/>
        </w:rPr>
        <w:footnoteReference w:id="17"/>
      </w:r>
      <w:r w:rsidRPr="00FD33A1">
        <w:rPr>
          <w:rFonts w:ascii="Times New Roman" w:hAnsi="Times New Roman" w:cs="Times New Roman"/>
          <w:color w:val="000000" w:themeColor="text1"/>
        </w:rPr>
        <w:t xml:space="preserve"> Similarly, in Fatehpur and Jhansi districts, the labourers mentioned that the ‘landlord personally visits us [them]</w:t>
      </w:r>
      <w:r w:rsidR="003C31C2">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t>at our homes and requests us [them] to come and work in his field’. While these narratives might be a bit exaggerated and the result of the farmers’ annoyance with small changes in power relations, these dynamics show that, at least in our fieldwork locations, interdependency has a strong material basis and that both parties are aware of it and come to terms with it. Hence, a general trend pointing towards more equal social relations between low caste labourers and upper (or intermediate) caste landowners can certainly be seen across much of India.</w:t>
      </w:r>
    </w:p>
    <w:p w14:paraId="6F42CFAA"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125A34B" w14:textId="32B4527D"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increased power position of India’s poor and the more egalitarian – although still very much unequal – social relations with local elites is the fundamental reason why we can conceptualise poor people’s politics as a form of negotiation. A few decades ago, the dominant castes/classes used to simply dictate what poor Dalits ought to do; today, this form of domination has largely disappeared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{"citationItems":[{"id":"ITEM-1","itemData":{"author":[{"dropping-particle":"","family":"Manor","given":"James","non-dropping-particle":"","parse-names":false,"suffix":""}],"container-title":"Seminar","id":"ITEM-1","issued":{"date-parts":[["2012"]]},"title":"Accommodation and conflict","type":"article-journal","volume":"633"},"uris":["http://www.mendeley.com/documents/?uuid=2ede38b6-77d7-4d13-966a-556517ef4d8e"]}],"mendeley":{"formattedCitation":"(Manor, 2012)","plainTextFormattedCitation":"(Manor, 2012)","previouslyFormattedCitation":"(Manor, 2012)"},"properties":{"noteIndex":0},"schema":"https://github.com/citation-style-language/schema/raw/master/csl-citation.json"}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(Manor, 2012)</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As an informant of Pamela Price</w:t>
      </w:r>
      <w:r w:rsidR="00A60A50"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A60A50" w:rsidRPr="00FD33A1">
        <w:rPr>
          <w:rFonts w:ascii="Times New Roman" w:hAnsi="Times New Roman" w:cs="Times New Roman"/>
          <w:color w:val="000000" w:themeColor="text1"/>
        </w:rPr>
        <w:instrText>ADDIN CSL_CITATION {"citationItems":[{"id":"ITEM-1","itemData":{"ISSN":"0162-0436","author":[{"dropping-particle":"","family":"Price","given":"Pamela","non-dropping-particle":"","parse-names":false,"suffix":""}],"container-title":"Qualitative sociology","id":"ITEM-1","issue":"3","issued":{"date-parts":[["2006"]]},"page":"301-316","publisher":"Springer","title":"Changing meanings of authority in contemporary rural India","type":"article-journal","volume":"29"},"locator":"307","suppress-author":1,"uris":["http://www.mendeley.com/documents/?uuid=cf64cb6f-d4fc-42bb-bc13-68cd21930212"]}],"mendeley":{"formattedCitation":"(2006, p. 307)","plainTextFormattedCitation":"(2006, p. 307)","previouslyFormattedCitation":"(2006, p. 307)"},"properties":{"noteIndex":0},"schema":"https://github.com/citation-style-language/schema/raw/master/csl-citation.json"}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(2006, p. 307)</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put it: ‘twenty years ago the village leaders gave commands. No one commands anymore’. While it would be an overstatement that relations in the past were exclusively about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commanding</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t>
      </w:r>
      <w:r w:rsidR="00A60A50" w:rsidRPr="00FD33A1">
        <w:rPr>
          <w:rFonts w:ascii="Times New Roman" w:hAnsi="Times New Roman" w:cs="Times New Roman"/>
          <w:color w:val="000000" w:themeColor="text1"/>
        </w:rPr>
        <w:fldChar w:fldCharType="begin" w:fldLock="1"/>
      </w:r>
      <w:r w:rsidR="00EF7768" w:rsidRPr="00FD33A1">
        <w:rPr>
          <w:rFonts w:ascii="Times New Roman" w:hAnsi="Times New Roman" w:cs="Times New Roman"/>
          <w:color w:val="000000" w:themeColor="text1"/>
        </w:rPr>
        <w:instrText>ADDIN CSL_CITATION {"citationItems":[{"id":"ITEM-1","itemData":{"ISSN":"0020-8590","abstract":"On bonded labor in two villages in West Gujarat; a study.","author":[{"dropping-particle":"","family":"Breman","given":"Jan","non-dropping-particle":"","parse-names":false,"suffix":""}],"id":"ITEM-1","issued":{"date-parts":[["2007"]]},"publisher":"Oxford University Press","publisher-place":"New Delhi","title":"Labour Bondage in West India from Past to Present","type":"book"},"uris":["http://www.mendeley.com/documents/?uuid=8089829f-5b6e-4b3b-8f26-4149568fe78f"]}],"mendeley":{"formattedCitation":"(Breman, 2007)","plainTextFormattedCitation":"(Breman, 2007)","previouslyFormattedCitation":"(Breman, 2007)"},"properties":{"noteIndex":0},"schema":"https://github.com/citation-style-language/schema/raw/master/csl-citation.json"}</w:instrText>
      </w:r>
      <w:r w:rsidR="00A60A50" w:rsidRPr="00FD33A1">
        <w:rPr>
          <w:rFonts w:ascii="Times New Roman" w:hAnsi="Times New Roman" w:cs="Times New Roman"/>
          <w:color w:val="000000" w:themeColor="text1"/>
        </w:rPr>
        <w:fldChar w:fldCharType="separate"/>
      </w:r>
      <w:r w:rsidR="00A60A50" w:rsidRPr="00FD33A1">
        <w:rPr>
          <w:rFonts w:ascii="Times New Roman" w:hAnsi="Times New Roman" w:cs="Times New Roman"/>
          <w:noProof/>
          <w:color w:val="000000" w:themeColor="text1"/>
        </w:rPr>
        <w:t>(Breman, 2007)</w:t>
      </w:r>
      <w:r w:rsidR="00A60A50"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similar comments came up in our own interviews in AP. A Dalit labourer in his sixties from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for example, told us that despite the fact that he thinks it is better to be available to satisfy the landed farmers’ requests, ‘it is not like during the old times when they [the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xml:space="preserve">] ordered us what to do. </w:t>
      </w:r>
      <w:r w:rsidRPr="00FD33A1">
        <w:rPr>
          <w:rFonts w:ascii="Times New Roman" w:hAnsi="Times New Roman" w:cs="Times New Roman"/>
          <w:color w:val="000000" w:themeColor="text1"/>
        </w:rPr>
        <w:lastRenderedPageBreak/>
        <w:t>Now they talk to us with respect’.</w:t>
      </w:r>
      <w:r w:rsidR="002418F6">
        <w:rPr>
          <w:rStyle w:val="Rimandonotaapidipagina"/>
          <w:rFonts w:ascii="Times New Roman" w:hAnsi="Times New Roman" w:cs="Times New Roman"/>
          <w:color w:val="000000" w:themeColor="text1"/>
        </w:rPr>
        <w:footnoteReference w:id="18"/>
      </w:r>
      <w:r w:rsidRPr="00FD33A1">
        <w:rPr>
          <w:rFonts w:ascii="Times New Roman" w:hAnsi="Times New Roman" w:cs="Times New Roman"/>
          <w:color w:val="000000" w:themeColor="text1"/>
        </w:rPr>
        <w:t xml:space="preserve"> The need to ‘talk with respect’ to Dalits – a recurring theme in our interviews and in other contexts as well (</w:t>
      </w:r>
      <w:proofErr w:type="gramStart"/>
      <w:r w:rsidRPr="00FD33A1">
        <w:rPr>
          <w:rFonts w:ascii="Times New Roman" w:hAnsi="Times New Roman" w:cs="Times New Roman"/>
          <w:color w:val="000000" w:themeColor="text1"/>
        </w:rPr>
        <w:t>e.g.</w:t>
      </w:r>
      <w:proofErr w:type="gramEnd"/>
      <w:r w:rsidRPr="00FD33A1">
        <w:rPr>
          <w:rFonts w:ascii="Times New Roman" w:hAnsi="Times New Roman" w:cs="Times New Roman"/>
          <w:color w:val="000000" w:themeColor="text1"/>
        </w:rPr>
        <w:t xml:space="preserve"> Roy 2014) – is a constituent part of this negotiating process: if the upper castes require a service from the Dalits, they have to ask ‘with respect’. Judith </w:t>
      </w:r>
      <w:proofErr w:type="spellStart"/>
      <w:r w:rsidRPr="00FD33A1">
        <w:rPr>
          <w:rFonts w:ascii="Times New Roman" w:hAnsi="Times New Roman" w:cs="Times New Roman"/>
          <w:color w:val="000000" w:themeColor="text1"/>
        </w:rPr>
        <w:t>Heyer</w:t>
      </w:r>
      <w:proofErr w:type="spellEnd"/>
      <w:r w:rsidRPr="00FD33A1">
        <w:rPr>
          <w:rFonts w:ascii="Times New Roman" w:hAnsi="Times New Roman" w:cs="Times New Roman"/>
          <w:color w:val="000000" w:themeColor="text1"/>
        </w:rPr>
        <w:t xml:space="preserve"> (201</w:t>
      </w:r>
      <w:r w:rsidR="00A60A50" w:rsidRPr="00FD33A1">
        <w:rPr>
          <w:rFonts w:ascii="Times New Roman" w:hAnsi="Times New Roman" w:cs="Times New Roman"/>
          <w:color w:val="000000" w:themeColor="text1"/>
        </w:rPr>
        <w:t>2</w:t>
      </w:r>
      <w:r w:rsidRPr="00FD33A1">
        <w:rPr>
          <w:rFonts w:ascii="Times New Roman" w:hAnsi="Times New Roman" w:cs="Times New Roman"/>
          <w:color w:val="000000" w:themeColor="text1"/>
        </w:rPr>
        <w:t>), on the basis of fieldwork conducted over 25 years in Tamil Nadu, similarly reports that it is not acceptable anymore to treat Dalits as badly as before, even though this does not fundamentally alter the oppressive nature of class relations. This was also evident, to a lesser degree, in UP, where, for instance, Dalit labourers reported that they were free to refuse to work for a landowner, unlike in the past when they were expected to obey the ‘orders’ of the village elite. In certain cases, in both states, however, heavily indebted labourers did not have such room for manoeuvre: ‘How can the change come, when we are all indebted to them?’, recalls a Dalit widow from AP.</w:t>
      </w:r>
      <w:r w:rsidR="002418F6">
        <w:rPr>
          <w:rStyle w:val="Rimandonotaapidipagina"/>
          <w:rFonts w:ascii="Times New Roman" w:hAnsi="Times New Roman" w:cs="Times New Roman"/>
          <w:color w:val="000000" w:themeColor="text1"/>
        </w:rPr>
        <w:footnoteReference w:id="19"/>
      </w:r>
    </w:p>
    <w:p w14:paraId="4BF65BD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52F5BF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However, it is very clear that the bargaining power of the Dalits has increased significantly in recent years, due to positive discrimination policies and progressive legislation; education and consequent upward mobility; inroads into politics, accessibility to a wage economy and to non-farm employment which has ruptured the traditional hold of bonded labour; and finally to social policies such as MGNREGA or the Public Distribution System that limit the Dalits’ dependency on upper caste landowners for their survival (Pattenden 2016).</w:t>
      </w:r>
    </w:p>
    <w:p w14:paraId="44E715E6"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040013A"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In the next section, we provide empirical evidence primarily from AP on the forms these negotiations take and with what consequences. In doing so, we also look at the other side of the table and explore both the poor and the rich’s ‘everyday </w:t>
      </w:r>
      <w:proofErr w:type="gramStart"/>
      <w:r w:rsidRPr="00FD33A1">
        <w:rPr>
          <w:rFonts w:ascii="Times New Roman" w:hAnsi="Times New Roman" w:cs="Times New Roman"/>
          <w:color w:val="000000" w:themeColor="text1"/>
        </w:rPr>
        <w:t>politics’</w:t>
      </w:r>
      <w:proofErr w:type="gramEnd"/>
      <w:r w:rsidRPr="00FD33A1">
        <w:rPr>
          <w:rFonts w:ascii="Times New Roman" w:hAnsi="Times New Roman" w:cs="Times New Roman"/>
          <w:color w:val="000000" w:themeColor="text1"/>
        </w:rPr>
        <w:t>. We will also make some contrasting comparisons with Uttar Pradesh.</w:t>
      </w:r>
    </w:p>
    <w:p w14:paraId="627C04C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ACF5587" w14:textId="08F76654" w:rsidR="00504C4D" w:rsidRPr="00FD33A1" w:rsidRDefault="009D79B3" w:rsidP="00CF2606">
      <w:pPr>
        <w:tabs>
          <w:tab w:val="left" w:pos="5103"/>
        </w:tabs>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t>THE EVERYDAY POLITICS OF THE POOR AND THE RICH</w:t>
      </w:r>
    </w:p>
    <w:p w14:paraId="0F10E7B9"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16966938" w14:textId="0DDDEB5C" w:rsidR="00504C4D" w:rsidRPr="00FD33A1" w:rsidRDefault="00504C4D" w:rsidP="00CF2606">
      <w:pPr>
        <w:tabs>
          <w:tab w:val="left" w:pos="5103"/>
        </w:tabs>
        <w:spacing w:line="360" w:lineRule="auto"/>
        <w:rPr>
          <w:rFonts w:ascii="Times New Roman" w:hAnsi="Times New Roman" w:cs="Times New Roman"/>
          <w:color w:val="000000" w:themeColor="text1"/>
        </w:rPr>
      </w:pPr>
      <w:proofErr w:type="spellStart"/>
      <w:r w:rsidRPr="00FD33A1">
        <w:rPr>
          <w:rFonts w:ascii="Times New Roman" w:hAnsi="Times New Roman" w:cs="Times New Roman"/>
          <w:color w:val="000000" w:themeColor="text1"/>
        </w:rPr>
        <w:t>Kerkvliet</w:t>
      </w:r>
      <w:proofErr w:type="spellEnd"/>
      <w:r w:rsidRPr="00FD33A1">
        <w:rPr>
          <w:rFonts w:ascii="Times New Roman" w:hAnsi="Times New Roman" w:cs="Times New Roman"/>
          <w:color w:val="000000" w:themeColor="text1"/>
        </w:rPr>
        <w:t xml:space="preserve"> (2009) has argued that, ‘everyday politics involves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people embracing, complying with, adjusting and contesting norms and rules regarding authority over, production of, or allocation of resources and doing so in quiet, mundane, and subtle expressions and acts that are rarely organised or direct</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{"citationItems":[{"id":"ITEM-1","itemData":{"ISSN":"0306-6150","author":[{"dropping-particle":"","family":"Kerkvliet","given":"Benedict J","non-dropping-particle":"","parse-names":false,"suffix":""}],"container-title":"The Journal of Peasant Studies","id":"ITEM-1","issue":"1","issued":{"date-parts":[["2009"]]},"page":"227-243","publisher":"Taylor &amp; Francis","title":"Everyday politics in peasant societies (and ours)","type":"article-journal","volume":"36"},"locator":"232","uris":["http://www.mendeley.com/documents/?uuid=cfc8a202-30c7-4e59-be45-77db0d543c5c"]}],"mendeley":{"formattedCitation":"(Kerkvliet, 2009, p. 232)","plainTextFormattedCitation":"(Kerkvliet, 2009, p. 232)","previouslyFormattedCitation":"(Kerkvliet, 2009, p. 232)"},"properties":{"noteIndex":0},"schema":"https://github.com/citation-style-language/schema/raw/master/csl-citation.json"}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(Kerkvliet, 2009, p. 232)</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Using this definition, in this section we argue that everyday political acts of Dalits and upper caste farmers in rural Andhra </w:t>
      </w:r>
      <w:r w:rsidRPr="00FD33A1">
        <w:rPr>
          <w:rFonts w:ascii="Times New Roman" w:hAnsi="Times New Roman" w:cs="Times New Roman"/>
          <w:color w:val="000000" w:themeColor="text1"/>
        </w:rPr>
        <w:lastRenderedPageBreak/>
        <w:t>Pradesh constitute a form of continuous negotiation that results in appreciable social change. These negotiations primarily involve labour relations, but also extend to broader issue of the village’s life.</w:t>
      </w:r>
    </w:p>
    <w:p w14:paraId="234F47FC"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38962B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We distinguish between explicit and implicit forms of negotiation. The former consists of straightforward bargaining on wage rates, labour conditions and the like. By implicit negotiations we mean two things. First, unilateral acts by Dalit labourers – what James Scott would refer to as ‘everyday resistance’ – which are interpreted by their employers as challenges to their authority and which are either tolerated (in most cases, in our fieldwork locations) or resisted (sometimes violently).  The decision on whether to tolerate a visible act of resistance, in many cases, depends on the need to maintain a cordial relation with the labourers. It is in this sense that we see these acts as implicit negotiations: on the one hand, labourers dragging their feet, test the limit of what is acceptable behaviour in order to ease off oppressive labour conditions; on the other hand, landowners decide to tolerate (or not) these acts that challenge their authority keeping in mind that an adverse or violent reaction might antagonise the worker, possibly compromising their future relations with them – and perhaps other Dalit labourers. Second, the decisions by upper caste landowners to treat Dalits in everyday exchanges (outside of the workplace) with a modicum of respect is also a choice dictated by the same need of not antagonising them so that working relations are not compromised. This in turn is seen by most Dalit labourers, whom we spoke to, as a precondition for working on their land. In other words, these processes, arguably can be understood as an exchange of resources: respect and a degree of freedom in exchange for labour.</w:t>
      </w:r>
    </w:p>
    <w:p w14:paraId="389BF977"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2BE29EA"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The emphasis in these negotiations in on labour conditions and the questioning of social norms that regulate the social life of the village. Examples of the former abound. Not only did we find in our interviews that requests for higher wages are common; but negotiations extend to broader working conditions. In a village in Guntur district in AP, for example, individual labourers, after a few incidents where labourers got sick after drinking the water from the irrigation canals bordering the fields, started asking landowners to provide ‘mineral water’.</w:t>
      </w:r>
      <w:r w:rsidRPr="00FD33A1">
        <w:rPr>
          <w:rStyle w:val="Rimandonotaapidipagina"/>
          <w:rFonts w:ascii="Times New Roman" w:hAnsi="Times New Roman" w:cs="Times New Roman"/>
          <w:color w:val="000000" w:themeColor="text1"/>
        </w:rPr>
        <w:footnoteReference w:id="20"/>
      </w:r>
      <w:r w:rsidRPr="00FD33A1">
        <w:rPr>
          <w:rFonts w:ascii="Times New Roman" w:hAnsi="Times New Roman" w:cs="Times New Roman"/>
          <w:color w:val="000000" w:themeColor="text1"/>
        </w:rPr>
        <w:t xml:space="preserve"> At first, the landowners denied the request. Then they agreed to provide water, if the labourers came in groups of at least ten workers. Eventually, they accepted to provide free </w:t>
      </w:r>
      <w:r w:rsidRPr="00FD33A1">
        <w:rPr>
          <w:rFonts w:ascii="Times New Roman" w:hAnsi="Times New Roman" w:cs="Times New Roman"/>
          <w:color w:val="000000" w:themeColor="text1"/>
        </w:rPr>
        <w:lastRenderedPageBreak/>
        <w:t>purified water to all workers. This was partly due to the fact that employers did not want their labourers to become sick and thus unavailable for work in a context where labour is relatively scarce and agricultural activity is highly concentrated during a few days during the agricultural season. Additionally, a labour ‘contractor’</w:t>
      </w:r>
      <w:r w:rsidRPr="00FD33A1">
        <w:rPr>
          <w:rStyle w:val="Rimandonotaapidipagina"/>
          <w:rFonts w:ascii="Times New Roman" w:hAnsi="Times New Roman" w:cs="Times New Roman"/>
          <w:color w:val="000000" w:themeColor="text1"/>
        </w:rPr>
        <w:footnoteReference w:id="21"/>
      </w:r>
      <w:r w:rsidRPr="00FD33A1">
        <w:rPr>
          <w:rFonts w:ascii="Times New Roman" w:hAnsi="Times New Roman" w:cs="Times New Roman"/>
          <w:color w:val="000000" w:themeColor="text1"/>
        </w:rPr>
        <w:t xml:space="preserve"> explained to us that ‘the farmers don’t want that someone get sick when working in their own field. This would be bad publicity and the workers would refuse to work for them’. On the other hand, however, several labourers told us that they had explicitly told the farmers that the provision of mineral water was an essential pre-requisite for them to work in their fields. In the same village, labourers also requested to be provided a means of transportation to the fields. Again, the landowners reluctantly </w:t>
      </w:r>
      <w:proofErr w:type="gramStart"/>
      <w:r w:rsidRPr="00FD33A1">
        <w:rPr>
          <w:rFonts w:ascii="Times New Roman" w:hAnsi="Times New Roman" w:cs="Times New Roman"/>
          <w:color w:val="000000" w:themeColor="text1"/>
        </w:rPr>
        <w:t>agreed</w:t>
      </w:r>
      <w:proofErr w:type="gramEnd"/>
      <w:r w:rsidRPr="00FD33A1">
        <w:rPr>
          <w:rFonts w:ascii="Times New Roman" w:hAnsi="Times New Roman" w:cs="Times New Roman"/>
          <w:color w:val="000000" w:themeColor="text1"/>
        </w:rPr>
        <w:t xml:space="preserve"> and they now hire autorickshaws to bring workers to their fields. Significantly, the labourers even managed to make it clear that if the driver picks them up late, they will still stop work at the stipulated time.</w:t>
      </w:r>
      <w:r w:rsidRPr="00FD33A1">
        <w:rPr>
          <w:rStyle w:val="Rimandonotaapidipagina"/>
          <w:rFonts w:ascii="Times New Roman" w:hAnsi="Times New Roman" w:cs="Times New Roman"/>
          <w:color w:val="000000" w:themeColor="text1"/>
        </w:rPr>
        <w:footnoteReference w:id="22"/>
      </w:r>
    </w:p>
    <w:p w14:paraId="645ACE1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AA26C7B"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Negotiations on labour conditions, although we believe are conducted mostly on an individual basis, might actually have a collective dimension in two senses. First, it is possible that small groups of workers agree, among themselves, wage rates and other working conditions. We found no evidence of this in our fieldwork locations. In fact, in one of the villages (Guntur district) where farmers recruit agricultural labourers through labour contractors, we were surprised to find that the five contractors of the village did not know each other’s names and told us that they do not meet to coordinate requests to farmers. However, it is very probable that workers ‘belonging’ to a certain labour group led by a contractor, do discuss collectively with the contractor the acceptable wage rates. Second, these negotiations could be collective in a more intangible sense. Many workers told us that when the news circulate in the village that a labourer has obtained a higher wage, then they expected at least the same amount for doing a similar work. While these requests are uncoordinated, they are collective in their consequences.</w:t>
      </w:r>
    </w:p>
    <w:p w14:paraId="14286FC5"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6E549E2C" w14:textId="3080EC86"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type of negotiations described above even occurs when the labourers are deeply indebted to their employers. A Dalit worker from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told us</w:t>
      </w:r>
      <w:r w:rsidR="002418F6">
        <w:rPr>
          <w:rFonts w:ascii="Times New Roman" w:hAnsi="Times New Roman" w:cs="Times New Roman"/>
          <w:color w:val="000000" w:themeColor="text1"/>
        </w:rPr>
        <w:t>:</w:t>
      </w:r>
      <w:r w:rsidR="002418F6">
        <w:rPr>
          <w:rStyle w:val="Rimandonotaapidipagina"/>
          <w:rFonts w:ascii="Times New Roman" w:hAnsi="Times New Roman" w:cs="Times New Roman"/>
          <w:color w:val="000000" w:themeColor="text1"/>
        </w:rPr>
        <w:footnoteReference w:id="23"/>
      </w:r>
    </w:p>
    <w:p w14:paraId="3F44F45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35FBA0D" w14:textId="0A5101B1" w:rsidR="00504C4D" w:rsidRPr="00FD33A1" w:rsidRDefault="00504C4D" w:rsidP="00CF2606">
      <w:pPr>
        <w:tabs>
          <w:tab w:val="left" w:pos="5103"/>
        </w:tabs>
        <w:spacing w:line="360" w:lineRule="auto"/>
        <w:ind w:left="426" w:right="645"/>
        <w:rPr>
          <w:rFonts w:ascii="Times New Roman" w:hAnsi="Times New Roman" w:cs="Times New Roman"/>
          <w:color w:val="000000" w:themeColor="text1"/>
        </w:rPr>
      </w:pPr>
      <w:r w:rsidRPr="00FD33A1">
        <w:rPr>
          <w:rFonts w:ascii="Times New Roman" w:hAnsi="Times New Roman" w:cs="Times New Roman"/>
          <w:color w:val="000000" w:themeColor="text1"/>
        </w:rPr>
        <w:lastRenderedPageBreak/>
        <w:t>Labourer: I am indebted to three Reddy landlords for a total of 5,000 Rs. I repay through my labour at 200 Rs per day, but there is a 24% interest rate</w:t>
      </w:r>
      <w:r w:rsidR="003C31C2">
        <w:rPr>
          <w:rFonts w:ascii="Times New Roman" w:hAnsi="Times New Roman" w:cs="Times New Roman"/>
          <w:color w:val="000000" w:themeColor="text1"/>
        </w:rPr>
        <w:t>…</w:t>
      </w:r>
      <w:r w:rsidRPr="00FD33A1">
        <w:rPr>
          <w:rFonts w:ascii="Times New Roman" w:hAnsi="Times New Roman" w:cs="Times New Roman"/>
          <w:color w:val="000000" w:themeColor="text1"/>
        </w:rPr>
        <w:t>So I end up working for a lot of time for them</w:t>
      </w:r>
      <w:r w:rsidR="003C31C2">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But since I also need cash for [my own] daily expenses, I asked [if it was okay] not to work for them </w:t>
      </w:r>
      <w:proofErr w:type="spellStart"/>
      <w:r w:rsidRPr="00FD33A1">
        <w:rPr>
          <w:rFonts w:ascii="Times New Roman" w:hAnsi="Times New Roman" w:cs="Times New Roman"/>
          <w:color w:val="000000" w:themeColor="text1"/>
        </w:rPr>
        <w:t>everyday</w:t>
      </w:r>
      <w:proofErr w:type="spellEnd"/>
      <w:r w:rsidRPr="00FD33A1">
        <w:rPr>
          <w:rFonts w:ascii="Times New Roman" w:hAnsi="Times New Roman" w:cs="Times New Roman"/>
          <w:color w:val="000000" w:themeColor="text1"/>
        </w:rPr>
        <w:t>, so that I can work for cash for some other [Reddy] farmer.</w:t>
      </w:r>
    </w:p>
    <w:p w14:paraId="1A7160E3" w14:textId="77777777" w:rsidR="00504C4D" w:rsidRPr="00FD33A1" w:rsidRDefault="00504C4D" w:rsidP="00CF2606">
      <w:pPr>
        <w:tabs>
          <w:tab w:val="left" w:pos="5103"/>
        </w:tabs>
        <w:spacing w:line="360" w:lineRule="auto"/>
        <w:ind w:left="426"/>
        <w:rPr>
          <w:rFonts w:ascii="Times New Roman" w:hAnsi="Times New Roman" w:cs="Times New Roman"/>
          <w:color w:val="000000" w:themeColor="text1"/>
        </w:rPr>
      </w:pPr>
    </w:p>
    <w:p w14:paraId="0A9EA7FB" w14:textId="77777777" w:rsidR="00504C4D" w:rsidRPr="00FD33A1" w:rsidRDefault="00504C4D" w:rsidP="00CF2606">
      <w:pPr>
        <w:tabs>
          <w:tab w:val="left" w:pos="5103"/>
        </w:tabs>
        <w:spacing w:line="360" w:lineRule="auto"/>
        <w:ind w:left="426"/>
        <w:rPr>
          <w:rFonts w:ascii="Times New Roman" w:hAnsi="Times New Roman" w:cs="Times New Roman"/>
          <w:color w:val="000000" w:themeColor="text1"/>
        </w:rPr>
      </w:pPr>
      <w:r w:rsidRPr="00FD33A1">
        <w:rPr>
          <w:rFonts w:ascii="Times New Roman" w:hAnsi="Times New Roman" w:cs="Times New Roman"/>
          <w:color w:val="000000" w:themeColor="text1"/>
        </w:rPr>
        <w:t xml:space="preserve">Q: Were they open to this idea? </w:t>
      </w:r>
    </w:p>
    <w:p w14:paraId="039EEE8D" w14:textId="77777777" w:rsidR="00504C4D" w:rsidRPr="00FD33A1" w:rsidRDefault="00504C4D" w:rsidP="00CF2606">
      <w:pPr>
        <w:tabs>
          <w:tab w:val="left" w:pos="5103"/>
        </w:tabs>
        <w:spacing w:line="360" w:lineRule="auto"/>
        <w:ind w:left="426"/>
        <w:rPr>
          <w:rFonts w:ascii="Times New Roman" w:hAnsi="Times New Roman" w:cs="Times New Roman"/>
          <w:color w:val="000000" w:themeColor="text1"/>
        </w:rPr>
      </w:pPr>
    </w:p>
    <w:p w14:paraId="03324AB4" w14:textId="77777777" w:rsidR="00504C4D" w:rsidRPr="00FD33A1" w:rsidRDefault="00504C4D" w:rsidP="00CF2606">
      <w:pPr>
        <w:widowControl w:val="0"/>
        <w:tabs>
          <w:tab w:val="left" w:pos="5103"/>
        </w:tabs>
        <w:autoSpaceDE w:val="0"/>
        <w:autoSpaceDN w:val="0"/>
        <w:adjustRightInd w:val="0"/>
        <w:spacing w:line="360" w:lineRule="auto"/>
        <w:ind w:left="426"/>
        <w:rPr>
          <w:rFonts w:ascii="Times New Roman" w:hAnsi="Times New Roman" w:cs="Times New Roman"/>
          <w:color w:val="000000" w:themeColor="text1"/>
        </w:rPr>
      </w:pPr>
      <w:r w:rsidRPr="00FD33A1">
        <w:rPr>
          <w:rFonts w:ascii="Times New Roman" w:hAnsi="Times New Roman" w:cs="Times New Roman"/>
          <w:color w:val="000000" w:themeColor="text1"/>
        </w:rPr>
        <w:t>Labourer: it is a proper negotiation. They take a step back and so do we.</w:t>
      </w:r>
    </w:p>
    <w:p w14:paraId="3B6886B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4045A6C" w14:textId="1E3DE48D"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This negotiation can be interpreted in two ways. On the one hand, the landowner wants to ensure that the labourer keeps working for him and repays his debt. On the other hand, in a context where landowners struggle to find enough workers, as is the case in the village where this labourer lives, this type of negotiation nevertheless shows how power relations between labourers and employers have changed. In fact, similar negotiations were unthinkable only a couple of decades ago, according to a number of elderly Dalits who chatted with us at the local tea stall. In the past, they recall, Dalits were expected to be at the complete disposal of the (upper caste)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xml:space="preserve"> and even trying to negotiate would have provoked a violent reaction. The traditionally ‘acceptable’ form of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negotiation</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was begging the landowner to be benevolent and allowing the labourer to work. Today, Dalit labourers do not dare to explicitly threaten the landlords – for example by threatening to migrate if their conditions are not met – but they do not beg. In some cases (and at first sight), very little seems to have changed: Dalits, especially of the older generations, fold their hands and bow their heads when talking to an upper caste landowner. In UP, moreover, Dalits do not dare to sit at the same level as that of an upper caste landowner (observations in the field, Fatehpur and Jhansi districts). In one instance in Fatehpur, the woman elected head (Pradhan) from the SC (Chamar) of the village was summoned by the upper caste (Thakur) landlord (and ex-village head) to be interviewed by us. Despite being the village head, she chose to sit on the floor of the Thakur’s house. In another instance in Fatehpur district, during our interview with an SC family, </w:t>
      </w:r>
      <w:r w:rsidRPr="00FD33A1">
        <w:rPr>
          <w:rFonts w:ascii="Times New Roman" w:hAnsi="Times New Roman" w:cs="Times New Roman"/>
        </w:rPr>
        <w:t xml:space="preserve">we noticed all family members either kept standing or sat on the floor, despite the availability of a </w:t>
      </w:r>
      <w:r w:rsidRPr="00FD33A1">
        <w:rPr>
          <w:rFonts w:ascii="Times New Roman" w:hAnsi="Times New Roman" w:cs="Times New Roman"/>
          <w:i/>
        </w:rPr>
        <w:t xml:space="preserve">charpoy </w:t>
      </w:r>
      <w:r w:rsidRPr="00FD33A1">
        <w:rPr>
          <w:rFonts w:ascii="Times New Roman" w:hAnsi="Times New Roman" w:cs="Times New Roman"/>
        </w:rPr>
        <w:t>(knitted cot). When asked, they replied that since the Brahmin men in the house opposite to theirs were sitting on cots, they would sit on the ground and not on the cots, that is, not at the same level as the Brahmins.</w:t>
      </w:r>
    </w:p>
    <w:p w14:paraId="260DA01A"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3C3C82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lastRenderedPageBreak/>
        <w:t xml:space="preserve">Nonetheless, despite these instances, there is, first, a marked difference in the body language that the younger generation of labourers use when addressing a landowner: not only do they tend not to display any sign of submission, but they explicitly refuse to avoid behaviours that they know would be interpreted as a sign of disrespect, like smoking in front of the landowners (see below) or even sitting next to them (Field Observations,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Secondly, the content of the negotiation is based on facts linked to material realities, to justify each party’s demands. Several labourers told us (and several landowners confirmed) that, when they negotiate their wages, they do so on the basis of the current price of food items, the quality of the work that needs to be performed, the availability of other sources of income or other economic arguments rather than pleading the landowner to be benevolent, as was the case in the past. </w:t>
      </w:r>
    </w:p>
    <w:p w14:paraId="38E18D27"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FF0F20D"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Significantly, landowners are fully aware that they must make concessions. During a discussion with a group of landowners in Guntur district, it emerged that they would ‘say yes to most of their [the labourers] requests. We don’t want to be put in the situation where we are told ‘you either pay me this much or we don’t come to work’. As the discussion went on, it became clear that what landowners feared most was the emergence of a collective demand for higher wages that would have eroded their (meagre, according to them) earnings. Labourers in the same village agree with the farmers and think that, when their requests are ‘reasonable’, they are usually accepted. </w:t>
      </w:r>
    </w:p>
    <w:p w14:paraId="1982B13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5D66D2B" w14:textId="769D3AFD"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need to accommodate the labourers extends beyond the workspace. A landowner from Guntur district complained that the maintenance of irrigation canals on their land by labourers under the MGNREGA is sometimes of ‘appalling quality’. However, the landowner continued, ‘we certify that the work done is of good quality, because we don’t want the workers not to be paid … because we don’t want to compromise our </w:t>
      </w:r>
      <w:proofErr w:type="gramStart"/>
      <w:r w:rsidRPr="00FD33A1">
        <w:rPr>
          <w:rFonts w:ascii="Times New Roman" w:hAnsi="Times New Roman" w:cs="Times New Roman"/>
          <w:color w:val="000000" w:themeColor="text1"/>
        </w:rPr>
        <w:t>relation</w:t>
      </w:r>
      <w:proofErr w:type="gramEnd"/>
      <w:r w:rsidRPr="00FD33A1">
        <w:rPr>
          <w:rFonts w:ascii="Times New Roman" w:hAnsi="Times New Roman" w:cs="Times New Roman"/>
          <w:color w:val="000000" w:themeColor="text1"/>
        </w:rPr>
        <w:t xml:space="preserve"> with them’</w:t>
      </w:r>
      <w:r w:rsidR="00E17D06">
        <w:rPr>
          <w:rFonts w:ascii="Times New Roman" w:hAnsi="Times New Roman" w:cs="Times New Roman"/>
          <w:color w:val="000000" w:themeColor="text1"/>
        </w:rPr>
        <w:t>.</w:t>
      </w:r>
      <w:r w:rsidR="00E17D06">
        <w:rPr>
          <w:rStyle w:val="Rimandonotaapidipagina"/>
          <w:rFonts w:ascii="Times New Roman" w:hAnsi="Times New Roman" w:cs="Times New Roman"/>
          <w:color w:val="000000" w:themeColor="text1"/>
        </w:rPr>
        <w:footnoteReference w:id="24"/>
      </w:r>
      <w:r w:rsidRPr="00FD33A1">
        <w:rPr>
          <w:rFonts w:ascii="Times New Roman" w:hAnsi="Times New Roman" w:cs="Times New Roman"/>
          <w:color w:val="000000" w:themeColor="text1"/>
        </w:rPr>
        <w:t xml:space="preserve"> The importance of these examples goes beyond the day-to-day dynamic of labour relations; instead, they show that the negotiating process between Dalit labourers and upper caste landowner results in appreciable modification of existing social norms. And this change of norms is largely an [un]intended social process;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actors produce social norms in the process of seeking distributional advantage</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(Knight and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1997</w:t>
      </w:r>
      <w:r w:rsidR="00EF7768" w:rsidRPr="00FD33A1">
        <w:rPr>
          <w:rFonts w:ascii="Times New Roman" w:hAnsi="Times New Roman" w:cs="Times New Roman"/>
          <w:color w:val="000000" w:themeColor="text1"/>
        </w:rPr>
        <w:t>, p. 4</w:t>
      </w:r>
      <w:r w:rsidRPr="00FD33A1">
        <w:rPr>
          <w:rFonts w:ascii="Times New Roman" w:hAnsi="Times New Roman" w:cs="Times New Roman"/>
          <w:color w:val="000000" w:themeColor="text1"/>
        </w:rPr>
        <w:t>)</w:t>
      </w:r>
      <w:r w:rsidR="003C31C2">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However, Knight and </w:t>
      </w:r>
      <w:proofErr w:type="spellStart"/>
      <w:r w:rsidRPr="00FD33A1">
        <w:rPr>
          <w:rFonts w:ascii="Times New Roman" w:hAnsi="Times New Roman" w:cs="Times New Roman"/>
          <w:color w:val="000000" w:themeColor="text1"/>
        </w:rPr>
        <w:t>Ensminger’s</w:t>
      </w:r>
      <w:proofErr w:type="spellEnd"/>
      <w:r w:rsidRPr="00FD33A1">
        <w:rPr>
          <w:rFonts w:ascii="Times New Roman" w:hAnsi="Times New Roman" w:cs="Times New Roman"/>
          <w:color w:val="000000" w:themeColor="text1"/>
        </w:rPr>
        <w:t xml:space="preserve"> model would predict that the Dalits would obey orders of the upper-caste </w:t>
      </w:r>
      <w:r w:rsidRPr="00FD33A1">
        <w:rPr>
          <w:rFonts w:ascii="Times New Roman" w:hAnsi="Times New Roman" w:cs="Times New Roman"/>
          <w:color w:val="000000" w:themeColor="text1"/>
        </w:rPr>
        <w:lastRenderedPageBreak/>
        <w:t>and not to question their authority. Rather, the re-negotiated and widely accepted social norms that regulate the villages’ political economy reflect the increased power position of the Dalits and the farmers coming to terms with that.</w:t>
      </w:r>
    </w:p>
    <w:p w14:paraId="4E26D5B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2E10E04" w14:textId="391923B1"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In a similar fashion, Dalit labourers regularly engage in implicit negotiations with their upper (or intermediate) caste employers to question established social norms that relegate them to the bottom of the social order. Here again the elites are willing to make concessions in order to preserve their </w:t>
      </w:r>
      <w:proofErr w:type="gramStart"/>
      <w:r w:rsidRPr="00FD33A1">
        <w:rPr>
          <w:rFonts w:ascii="Times New Roman" w:hAnsi="Times New Roman" w:cs="Times New Roman"/>
          <w:color w:val="000000" w:themeColor="text1"/>
        </w:rPr>
        <w:t>relation</w:t>
      </w:r>
      <w:proofErr w:type="gramEnd"/>
      <w:r w:rsidRPr="00FD33A1">
        <w:rPr>
          <w:rFonts w:ascii="Times New Roman" w:hAnsi="Times New Roman" w:cs="Times New Roman"/>
          <w:color w:val="000000" w:themeColor="text1"/>
        </w:rPr>
        <w:t xml:space="preserve"> with the labourers, who are in turn ready to compromise. One Dalit labourer from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reported</w:t>
      </w:r>
      <w:r w:rsidR="002418F6">
        <w:rPr>
          <w:rFonts w:ascii="Times New Roman" w:hAnsi="Times New Roman" w:cs="Times New Roman"/>
          <w:color w:val="000000" w:themeColor="text1"/>
        </w:rPr>
        <w:t>:</w:t>
      </w:r>
      <w:r w:rsidR="002418F6">
        <w:rPr>
          <w:rStyle w:val="Rimandonotaapidipagina"/>
          <w:rFonts w:ascii="Times New Roman" w:hAnsi="Times New Roman" w:cs="Times New Roman"/>
          <w:color w:val="000000" w:themeColor="text1"/>
        </w:rPr>
        <w:footnoteReference w:id="25"/>
      </w:r>
    </w:p>
    <w:p w14:paraId="4EE38F10"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AF429F7" w14:textId="06AAAC20" w:rsidR="00504C4D" w:rsidRPr="00FD33A1" w:rsidRDefault="00504C4D" w:rsidP="00CF2606">
      <w:pPr>
        <w:tabs>
          <w:tab w:val="left" w:pos="5103"/>
        </w:tabs>
        <w:spacing w:line="360" w:lineRule="auto"/>
        <w:ind w:left="426" w:right="929"/>
        <w:rPr>
          <w:rFonts w:ascii="Times New Roman" w:hAnsi="Times New Roman" w:cs="Times New Roman"/>
          <w:color w:val="000000" w:themeColor="text1"/>
        </w:rPr>
      </w:pPr>
      <w:r w:rsidRPr="00FD33A1">
        <w:rPr>
          <w:rFonts w:ascii="Times New Roman" w:hAnsi="Times New Roman" w:cs="Times New Roman"/>
          <w:color w:val="000000" w:themeColor="text1"/>
        </w:rPr>
        <w:t xml:space="preserve">Things have changed dramatically in recent years … When we go to their [the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weddings we are given food in special metal plates. But at least it is the same metal as their own plates. In the past, it was a different material altogether. We are also given the same food, which was not the case in the past.</w:t>
      </w:r>
    </w:p>
    <w:p w14:paraId="53FA9157"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EA6A1AD" w14:textId="042BBFB7" w:rsidR="00504C4D" w:rsidRPr="00FD33A1" w:rsidRDefault="00504C4D" w:rsidP="00CF2606">
      <w:pPr>
        <w:tabs>
          <w:tab w:val="left" w:pos="5103"/>
        </w:tabs>
        <w:spacing w:line="360" w:lineRule="auto"/>
        <w:ind w:right="78"/>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w:t>
      </w:r>
      <w:r w:rsidRPr="00FD33A1">
        <w:rPr>
          <w:rFonts w:ascii="Times New Roman" w:hAnsi="Times New Roman" w:cs="Times New Roman"/>
          <w:i/>
          <w:color w:val="000000" w:themeColor="text1"/>
        </w:rPr>
        <w:t>choice</w:t>
      </w:r>
      <w:r w:rsidRPr="00FD33A1">
        <w:rPr>
          <w:rFonts w:ascii="Times New Roman" w:hAnsi="Times New Roman" w:cs="Times New Roman"/>
          <w:color w:val="000000" w:themeColor="text1"/>
        </w:rPr>
        <w:t xml:space="preserve"> of serving the same food in the same – although marked – type of plate is an act that has important social and political repercussions. Of course, this has very little to do with the notion that Reddy landlords have suddenly embraced the values of equality and social justice. But it is in their best interest not to humiliate their labourers</w:t>
      </w:r>
      <w:r w:rsidRPr="00FD33A1">
        <w:rPr>
          <w:rFonts w:ascii="Times New Roman" w:hAnsi="Times New Roman" w:cs="Times New Roman"/>
          <w:i/>
          <w:color w:val="000000" w:themeColor="text1"/>
        </w:rPr>
        <w:t xml:space="preserve"> too much</w:t>
      </w:r>
      <w:r w:rsidRPr="00FD33A1">
        <w:rPr>
          <w:rFonts w:ascii="Times New Roman" w:hAnsi="Times New Roman" w:cs="Times New Roman"/>
          <w:color w:val="000000" w:themeColor="text1"/>
        </w:rPr>
        <w:t>.</w:t>
      </w:r>
      <w:r w:rsidRPr="00FD33A1">
        <w:rPr>
          <w:rStyle w:val="Rimandonotaapidipagina"/>
          <w:rFonts w:ascii="Times New Roman" w:hAnsi="Times New Roman" w:cs="Times New Roman"/>
          <w:color w:val="000000" w:themeColor="text1"/>
        </w:rPr>
        <w:footnoteReference w:id="26"/>
      </w:r>
      <w:r w:rsidRPr="00FD33A1">
        <w:rPr>
          <w:rFonts w:ascii="Times New Roman" w:hAnsi="Times New Roman" w:cs="Times New Roman"/>
          <w:color w:val="000000" w:themeColor="text1"/>
        </w:rPr>
        <w:t xml:space="preserve">As the same labourer added: ‘They know that if they do not treat us with respect, we will go to Bangalore or </w:t>
      </w:r>
      <w:proofErr w:type="spellStart"/>
      <w:r w:rsidRPr="00FD33A1">
        <w:rPr>
          <w:rFonts w:ascii="Times New Roman" w:hAnsi="Times New Roman" w:cs="Times New Roman"/>
          <w:color w:val="000000" w:themeColor="text1"/>
        </w:rPr>
        <w:t>Hindupur</w:t>
      </w:r>
      <w:proofErr w:type="spellEnd"/>
      <w:r w:rsidRPr="00FD33A1">
        <w:rPr>
          <w:rFonts w:ascii="Times New Roman" w:hAnsi="Times New Roman" w:cs="Times New Roman"/>
          <w:color w:val="000000" w:themeColor="text1"/>
        </w:rPr>
        <w:t xml:space="preserve">. We are dependent on them, but they depend on </w:t>
      </w:r>
      <w:proofErr w:type="gramStart"/>
      <w:r w:rsidRPr="00FD33A1">
        <w:rPr>
          <w:rFonts w:ascii="Times New Roman" w:hAnsi="Times New Roman" w:cs="Times New Roman"/>
          <w:color w:val="000000" w:themeColor="text1"/>
        </w:rPr>
        <w:t>us’</w:t>
      </w:r>
      <w:proofErr w:type="gramEnd"/>
      <w:r w:rsidRPr="00FD33A1">
        <w:rPr>
          <w:rFonts w:ascii="Times New Roman" w:hAnsi="Times New Roman" w:cs="Times New Roman"/>
          <w:color w:val="000000" w:themeColor="text1"/>
        </w:rPr>
        <w:t xml:space="preserve">. Several labourers from both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and Guntur districts concur and a few of them went even further: ‘landlords are now dependant on </w:t>
      </w:r>
      <w:proofErr w:type="gramStart"/>
      <w:r w:rsidRPr="00FD33A1">
        <w:rPr>
          <w:rFonts w:ascii="Times New Roman" w:hAnsi="Times New Roman" w:cs="Times New Roman"/>
          <w:color w:val="000000" w:themeColor="text1"/>
        </w:rPr>
        <w:t>us’</w:t>
      </w:r>
      <w:proofErr w:type="gramEnd"/>
      <w:r w:rsidR="00E17D06">
        <w:rPr>
          <w:rFonts w:ascii="Times New Roman" w:hAnsi="Times New Roman" w:cs="Times New Roman"/>
          <w:color w:val="000000" w:themeColor="text1"/>
        </w:rPr>
        <w:t>.</w:t>
      </w:r>
      <w:r w:rsidR="00E17D06">
        <w:rPr>
          <w:rStyle w:val="Rimandonotaapidipagina"/>
          <w:rFonts w:ascii="Times New Roman" w:hAnsi="Times New Roman" w:cs="Times New Roman"/>
          <w:color w:val="000000" w:themeColor="text1"/>
        </w:rPr>
        <w:footnoteReference w:id="27"/>
      </w:r>
      <w:r w:rsidRPr="00FD33A1">
        <w:rPr>
          <w:rFonts w:ascii="Times New Roman" w:hAnsi="Times New Roman" w:cs="Times New Roman"/>
          <w:color w:val="000000" w:themeColor="text1"/>
        </w:rPr>
        <w:t xml:space="preserve"> </w:t>
      </w:r>
    </w:p>
    <w:p w14:paraId="69955957" w14:textId="77777777" w:rsidR="00504C4D" w:rsidRPr="00FD33A1" w:rsidRDefault="00504C4D" w:rsidP="00CF2606">
      <w:pPr>
        <w:tabs>
          <w:tab w:val="left" w:pos="5103"/>
        </w:tabs>
        <w:spacing w:line="360" w:lineRule="auto"/>
        <w:ind w:right="78"/>
        <w:rPr>
          <w:rFonts w:ascii="Times New Roman" w:hAnsi="Times New Roman" w:cs="Times New Roman"/>
          <w:color w:val="000000" w:themeColor="text1"/>
        </w:rPr>
      </w:pPr>
    </w:p>
    <w:p w14:paraId="2191433D" w14:textId="62C7E6D0" w:rsidR="00504C4D" w:rsidRPr="00FD33A1" w:rsidRDefault="00504C4D" w:rsidP="00CF2606">
      <w:pPr>
        <w:tabs>
          <w:tab w:val="left" w:pos="5103"/>
        </w:tabs>
        <w:spacing w:line="360" w:lineRule="auto"/>
        <w:ind w:right="78"/>
        <w:rPr>
          <w:rFonts w:ascii="Times New Roman" w:hAnsi="Times New Roman" w:cs="Times New Roman"/>
          <w:color w:val="000000" w:themeColor="text1"/>
        </w:rPr>
      </w:pPr>
      <w:r w:rsidRPr="00FD33A1">
        <w:rPr>
          <w:rFonts w:ascii="Times New Roman" w:hAnsi="Times New Roman" w:cs="Times New Roman"/>
          <w:color w:val="000000" w:themeColor="text1"/>
        </w:rPr>
        <w:t xml:space="preserve">It is in this sense that the daily interactions between upper caste landlords and Dalit labourers are a form of implicit negotiation: both acknowledge their mutual </w:t>
      </w:r>
      <w:proofErr w:type="gramStart"/>
      <w:r w:rsidRPr="00FD33A1">
        <w:rPr>
          <w:rFonts w:ascii="Times New Roman" w:hAnsi="Times New Roman" w:cs="Times New Roman"/>
          <w:color w:val="000000" w:themeColor="text1"/>
        </w:rPr>
        <w:t>dependency</w:t>
      </w:r>
      <w:proofErr w:type="gramEnd"/>
      <w:r w:rsidRPr="00FD33A1">
        <w:rPr>
          <w:rFonts w:ascii="Times New Roman" w:hAnsi="Times New Roman" w:cs="Times New Roman"/>
          <w:color w:val="000000" w:themeColor="text1"/>
        </w:rPr>
        <w:t xml:space="preserve"> and each party is ready to take a step backward. An agricultural labourer from Guntur explained the symbiotic relation between upper and lower caste villagers saying that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we are all born of the same mother</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by which she meant that they needed to coexist and help each other: compromising and negotiating is one way to ensure the peaceful coexistence of the two </w:t>
      </w:r>
      <w:r w:rsidRPr="00FD33A1">
        <w:rPr>
          <w:rFonts w:ascii="Times New Roman" w:hAnsi="Times New Roman" w:cs="Times New Roman"/>
          <w:color w:val="000000" w:themeColor="text1"/>
        </w:rPr>
        <w:lastRenderedPageBreak/>
        <w:t xml:space="preserve">parties. In the previous example, Dalits choose to tolerate a bit of humiliation, and the </w:t>
      </w:r>
      <w:proofErr w:type="spellStart"/>
      <w:r w:rsidRPr="00FD33A1">
        <w:rPr>
          <w:rFonts w:ascii="Times New Roman" w:hAnsi="Times New Roman" w:cs="Times New Roman"/>
          <w:color w:val="000000" w:themeColor="text1"/>
        </w:rPr>
        <w:t>Reddys</w:t>
      </w:r>
      <w:proofErr w:type="spellEnd"/>
      <w:r w:rsidRPr="00FD33A1">
        <w:rPr>
          <w:rFonts w:ascii="Times New Roman" w:hAnsi="Times New Roman" w:cs="Times New Roman"/>
          <w:color w:val="000000" w:themeColor="text1"/>
        </w:rPr>
        <w:t xml:space="preserve"> choose not to humiliate them too much. Importantly, the negotiating process led to the establishment of new social norms. In the example just mentioned, it is clear from our fieldwork that a few principles have been established: first, Dalits are invited to weddings of upper caste families;</w:t>
      </w:r>
      <w:r w:rsidRPr="00FD33A1">
        <w:rPr>
          <w:rStyle w:val="Rimandonotaapidipagina"/>
          <w:rFonts w:ascii="Times New Roman" w:hAnsi="Times New Roman" w:cs="Times New Roman"/>
          <w:color w:val="000000" w:themeColor="text1"/>
        </w:rPr>
        <w:footnoteReference w:id="28"/>
      </w:r>
      <w:r w:rsidRPr="00FD33A1">
        <w:rPr>
          <w:rFonts w:ascii="Times New Roman" w:hAnsi="Times New Roman" w:cs="Times New Roman"/>
          <w:color w:val="000000" w:themeColor="text1"/>
        </w:rPr>
        <w:t xml:space="preserve"> second, they are not expected to perform any traditional role – playing drums, for example – unless they are paid for it; third, Dalits are given the same food as anybody else, and this is served on a proper plate – and </w:t>
      </w:r>
      <w:r w:rsidRPr="00FD33A1">
        <w:rPr>
          <w:rFonts w:ascii="Times New Roman" w:hAnsi="Times New Roman" w:cs="Times New Roman"/>
          <w:i/>
          <w:color w:val="000000" w:themeColor="text1"/>
        </w:rPr>
        <w:t>not</w:t>
      </w:r>
      <w:r w:rsidRPr="00FD33A1">
        <w:rPr>
          <w:rFonts w:ascii="Times New Roman" w:hAnsi="Times New Roman" w:cs="Times New Roman"/>
          <w:color w:val="000000" w:themeColor="text1"/>
        </w:rPr>
        <w:t xml:space="preserve"> on banana tree leaves – although special plates are reserved for them. Violating these ‘rules’ would most certainly seriously upset the Dalits with deleterious consequences on social and labour relations. At the same time, Dalits accept some humiliation – the marked plates – but choose not to create a scene about it at the wedding or not to attend the wedding at all, because this would clearly upset the hosting family and indeed the entire Reddy community, which would have serious consequences on social relations. These changes are significant, especially if we compare with wedding arrangements in Uttar Pradesh, where Dalits reported being seated (on the floor) and being served food separately. On the other hand, upper castes attend Dalits’ weddings but not eat on the occasion.</w:t>
      </w:r>
      <w:r w:rsidRPr="00FD33A1">
        <w:rPr>
          <w:rStyle w:val="Rimandonotaapidipagina"/>
          <w:rFonts w:ascii="Times New Roman" w:hAnsi="Times New Roman" w:cs="Times New Roman"/>
          <w:color w:val="000000" w:themeColor="text1"/>
        </w:rPr>
        <w:footnoteReference w:id="29"/>
      </w:r>
      <w:r w:rsidRPr="00FD33A1">
        <w:rPr>
          <w:rFonts w:ascii="Times New Roman" w:hAnsi="Times New Roman" w:cs="Times New Roman"/>
          <w:color w:val="000000" w:themeColor="text1"/>
        </w:rPr>
        <w:t xml:space="preserve"> Some Dalits we spoke to told us that they stopped inviting Brahmins and Thakurs to their weddings because they insisted on not eating their food and because they would bring their own plates from home, which they found unacceptable. They also stopped attending upper caste weddings for the same reason</w:t>
      </w:r>
      <w:r w:rsidR="001D0D42">
        <w:rPr>
          <w:rFonts w:ascii="Times New Roman" w:hAnsi="Times New Roman" w:cs="Times New Roman"/>
          <w:color w:val="000000" w:themeColor="text1"/>
        </w:rPr>
        <w:t>.</w:t>
      </w:r>
      <w:r w:rsidR="001D0D42">
        <w:rPr>
          <w:rStyle w:val="Rimandonotaapidipagina"/>
          <w:rFonts w:ascii="Times New Roman" w:hAnsi="Times New Roman" w:cs="Times New Roman"/>
          <w:color w:val="000000" w:themeColor="text1"/>
        </w:rPr>
        <w:footnoteReference w:id="30"/>
      </w:r>
      <w:r w:rsidRPr="00FD33A1">
        <w:rPr>
          <w:rFonts w:ascii="Times New Roman" w:hAnsi="Times New Roman" w:cs="Times New Roman"/>
          <w:color w:val="000000" w:themeColor="text1"/>
        </w:rPr>
        <w:t xml:space="preserve"> Clearly, even in the context of our fieldwork villages in AP, the marked plate is there precisely as a reminder that Dalits have not crossed the ‘impurity line’ that separates them from the rest of the society. However, from a previous situation where Dalits attended upper caste weddings as providers of services (for ex, as nautch girls) and then ate the leftovers of the other guests, to one in which they are invited as guests, they are seated on chairs and eat the same food as the other guests, it is undeniable that the new social norms regulating weddings reflect the increased power position of the Dalits and not, as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and Knight (1997) would have predicted, that of the more powerful actor in the negotiation, i.e. the landed elites. Nevertheless, their idea that bargains (or negotiation) </w:t>
      </w:r>
      <w:proofErr w:type="gramStart"/>
      <w:r w:rsidRPr="00FD33A1">
        <w:rPr>
          <w:rFonts w:ascii="Times New Roman" w:hAnsi="Times New Roman" w:cs="Times New Roman"/>
          <w:color w:val="000000" w:themeColor="text1"/>
        </w:rPr>
        <w:t>leads</w:t>
      </w:r>
      <w:proofErr w:type="gramEnd"/>
      <w:r w:rsidRPr="00FD33A1">
        <w:rPr>
          <w:rFonts w:ascii="Times New Roman" w:hAnsi="Times New Roman" w:cs="Times New Roman"/>
          <w:color w:val="000000" w:themeColor="text1"/>
        </w:rPr>
        <w:t xml:space="preserve"> to a </w:t>
      </w:r>
      <w:r w:rsidRPr="00FD33A1">
        <w:rPr>
          <w:rFonts w:ascii="Times New Roman" w:hAnsi="Times New Roman" w:cs="Times New Roman"/>
          <w:color w:val="000000" w:themeColor="text1"/>
        </w:rPr>
        <w:lastRenderedPageBreak/>
        <w:t>modification of social norms aptly resonates with the empirical reality in our fieldwork locations in rural AP.</w:t>
      </w:r>
    </w:p>
    <w:p w14:paraId="5CCD2C76" w14:textId="77777777" w:rsidR="00504C4D" w:rsidRPr="00FD33A1" w:rsidRDefault="00504C4D" w:rsidP="00CF2606">
      <w:pPr>
        <w:tabs>
          <w:tab w:val="left" w:pos="5103"/>
        </w:tabs>
        <w:spacing w:line="360" w:lineRule="auto"/>
        <w:ind w:right="78"/>
        <w:rPr>
          <w:rFonts w:ascii="Times New Roman" w:hAnsi="Times New Roman" w:cs="Times New Roman"/>
          <w:color w:val="000000" w:themeColor="text1"/>
        </w:rPr>
      </w:pPr>
    </w:p>
    <w:p w14:paraId="462F98A3" w14:textId="77777777" w:rsidR="00504C4D" w:rsidRPr="00FD33A1" w:rsidRDefault="00504C4D" w:rsidP="00CF2606">
      <w:pPr>
        <w:tabs>
          <w:tab w:val="left" w:pos="5103"/>
        </w:tabs>
        <w:spacing w:line="360" w:lineRule="auto"/>
        <w:ind w:right="78"/>
        <w:rPr>
          <w:rFonts w:ascii="Times New Roman" w:hAnsi="Times New Roman" w:cs="Times New Roman"/>
          <w:color w:val="000000" w:themeColor="text1"/>
        </w:rPr>
      </w:pPr>
      <w:r w:rsidRPr="00FD33A1">
        <w:rPr>
          <w:rFonts w:ascii="Times New Roman" w:hAnsi="Times New Roman" w:cs="Times New Roman"/>
          <w:color w:val="000000" w:themeColor="text1"/>
        </w:rPr>
        <w:t>Similar everyday negotiations between Dalit labourers and upper caste landowners shape numerous aspects of the village social life. A Reddy farmer who owned approximately 30 acres – a huge amount in rural India – and belonged to the single most prominent political family – the ‘owner’ of the village as one labourer put it – told us:</w:t>
      </w:r>
    </w:p>
    <w:p w14:paraId="2AFF8307" w14:textId="77777777" w:rsidR="00504C4D" w:rsidRPr="00FD33A1" w:rsidRDefault="00504C4D" w:rsidP="00CF2606">
      <w:pPr>
        <w:tabs>
          <w:tab w:val="left" w:pos="5103"/>
        </w:tabs>
        <w:spacing w:line="360" w:lineRule="auto"/>
        <w:ind w:right="78"/>
        <w:rPr>
          <w:rFonts w:ascii="Times New Roman" w:hAnsi="Times New Roman" w:cs="Times New Roman"/>
          <w:color w:val="000000" w:themeColor="text1"/>
        </w:rPr>
      </w:pPr>
    </w:p>
    <w:p w14:paraId="275266E8" w14:textId="71FEA17E" w:rsidR="00504C4D" w:rsidRPr="00FD33A1" w:rsidRDefault="00504C4D" w:rsidP="00CF2606">
      <w:pPr>
        <w:widowControl w:val="0"/>
        <w:tabs>
          <w:tab w:val="left" w:pos="5103"/>
        </w:tabs>
        <w:autoSpaceDE w:val="0"/>
        <w:autoSpaceDN w:val="0"/>
        <w:adjustRightInd w:val="0"/>
        <w:spacing w:line="360" w:lineRule="auto"/>
        <w:ind w:left="709" w:right="787"/>
        <w:rPr>
          <w:rFonts w:ascii="Times New Roman" w:hAnsi="Times New Roman" w:cs="Times New Roman"/>
          <w:color w:val="000000" w:themeColor="text1"/>
        </w:rPr>
      </w:pPr>
      <w:r w:rsidRPr="00FD33A1">
        <w:rPr>
          <w:rFonts w:ascii="Times New Roman" w:hAnsi="Times New Roman" w:cs="Times New Roman"/>
          <w:color w:val="000000" w:themeColor="text1"/>
        </w:rPr>
        <w:t>Sometimes we cannot find enough workers, so we work ourselves. Even the women. It is very demeaning. Also, when they [the Dalits] work, they don’t ask permission to go to the toilet.</w:t>
      </w:r>
      <w:r w:rsidRPr="00FD33A1">
        <w:rPr>
          <w:rStyle w:val="Rimandonotaapidipagina"/>
          <w:rFonts w:ascii="Times New Roman" w:hAnsi="Times New Roman" w:cs="Times New Roman"/>
          <w:color w:val="000000" w:themeColor="text1"/>
        </w:rPr>
        <w:footnoteReference w:id="31"/>
      </w:r>
      <w:r w:rsidRPr="00FD33A1">
        <w:rPr>
          <w:rFonts w:ascii="Times New Roman" w:hAnsi="Times New Roman" w:cs="Times New Roman"/>
          <w:color w:val="000000" w:themeColor="text1"/>
        </w:rPr>
        <w:t xml:space="preserve"> They just go and then they hide in the bush for a long time. What can we do? If we question </w:t>
      </w:r>
      <w:proofErr w:type="gramStart"/>
      <w:r w:rsidRPr="00FD33A1">
        <w:rPr>
          <w:rFonts w:ascii="Times New Roman" w:hAnsi="Times New Roman" w:cs="Times New Roman"/>
          <w:color w:val="000000" w:themeColor="text1"/>
        </w:rPr>
        <w:t>them</w:t>
      </w:r>
      <w:proofErr w:type="gramEnd"/>
      <w:r w:rsidRPr="00FD33A1">
        <w:rPr>
          <w:rFonts w:ascii="Times New Roman" w:hAnsi="Times New Roman" w:cs="Times New Roman"/>
          <w:color w:val="000000" w:themeColor="text1"/>
        </w:rPr>
        <w:t xml:space="preserve"> they will not show up the day after. </w:t>
      </w:r>
      <w:proofErr w:type="gramStart"/>
      <w:r w:rsidRPr="00FD33A1">
        <w:rPr>
          <w:rFonts w:ascii="Times New Roman" w:hAnsi="Times New Roman" w:cs="Times New Roman"/>
          <w:color w:val="000000" w:themeColor="text1"/>
        </w:rPr>
        <w:t>So</w:t>
      </w:r>
      <w:proofErr w:type="gramEnd"/>
      <w:r w:rsidRPr="00FD33A1">
        <w:rPr>
          <w:rFonts w:ascii="Times New Roman" w:hAnsi="Times New Roman" w:cs="Times New Roman"/>
          <w:color w:val="000000" w:themeColor="text1"/>
        </w:rPr>
        <w:t xml:space="preserve"> we just pretend that we do not notice that.</w:t>
      </w:r>
      <w:r w:rsidR="002418F6">
        <w:rPr>
          <w:rStyle w:val="Rimandonotaapidipagina"/>
          <w:rFonts w:ascii="Times New Roman" w:hAnsi="Times New Roman" w:cs="Times New Roman"/>
          <w:color w:val="000000" w:themeColor="text1"/>
        </w:rPr>
        <w:footnoteReference w:id="32"/>
      </w:r>
    </w:p>
    <w:p w14:paraId="1F429113" w14:textId="77777777" w:rsidR="00504C4D" w:rsidRPr="00FD33A1" w:rsidRDefault="00504C4D" w:rsidP="00CF2606">
      <w:pPr>
        <w:widowControl w:val="0"/>
        <w:tabs>
          <w:tab w:val="left" w:pos="5103"/>
        </w:tabs>
        <w:autoSpaceDE w:val="0"/>
        <w:autoSpaceDN w:val="0"/>
        <w:adjustRightInd w:val="0"/>
        <w:spacing w:line="360" w:lineRule="auto"/>
        <w:ind w:left="709" w:right="787"/>
        <w:rPr>
          <w:rFonts w:ascii="Times New Roman" w:hAnsi="Times New Roman" w:cs="Times New Roman"/>
          <w:color w:val="000000" w:themeColor="text1"/>
        </w:rPr>
      </w:pPr>
    </w:p>
    <w:p w14:paraId="57C4419E" w14:textId="73E8C9F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This again is an example of an implicit, everyday negotiation that has profound implications for the village social and economic relations. The choice of not asking permission to go for relieving themselves – which was confirmed to us by several labourers in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district – and to remain in the ‘bush’ longer than necessary can be seen as acts of ‘everyday resistance’ that encroach onto customary social norms that would require Dalits to be deferent to the upper caste landowners. By refusing to ask permission to stop working and going to relieve themselves, in other words, Dalit labourers are not simply dragging their feet to ease off, temporarily, the oppressive nature of labour relations: they are in fact advancing a claim and continuing the negotiating process with their upper caste employers. Similarly, the choice of working alongside the Dalit labourers and the choice of not questioning them if they stay too long in the bush are political acts of retrenchment that contribute to the erosion of the landowners’ power and the increase of that of the labourers. As a result, now labourers do not ask permission to go to relieve themselves in the bush and stay there for as long as they find ‘reasonable’, therefore testing the boundaries of what the landowner is ready to accept. We found some evidence of similar processes occurring in UP as well. A Yadav (middle caste) farmer, lamenting that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all respect is gone, nowadays</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reported that </w:t>
      </w:r>
      <w:proofErr w:type="gramStart"/>
      <w:r w:rsidRPr="00FD33A1">
        <w:rPr>
          <w:rFonts w:ascii="Times New Roman" w:hAnsi="Times New Roman" w:cs="Times New Roman"/>
          <w:color w:val="000000" w:themeColor="text1"/>
        </w:rPr>
        <w:t>Dalits</w:t>
      </w:r>
      <w:proofErr w:type="gramEnd"/>
      <w:r w:rsidRPr="00FD33A1">
        <w:rPr>
          <w:rFonts w:ascii="Times New Roman" w:hAnsi="Times New Roman" w:cs="Times New Roman"/>
          <w:color w:val="000000" w:themeColor="text1"/>
        </w:rPr>
        <w:t xml:space="preserve"> labourers take rest during work without asking permission and that he tolerates this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if it happens only once in a </w:t>
      </w:r>
      <w:r w:rsidRPr="00FD33A1">
        <w:rPr>
          <w:rFonts w:ascii="Times New Roman" w:hAnsi="Times New Roman" w:cs="Times New Roman"/>
          <w:color w:val="000000" w:themeColor="text1"/>
        </w:rPr>
        <w:lastRenderedPageBreak/>
        <w:t>while</w:t>
      </w:r>
      <w:r w:rsidR="009D79B3" w:rsidRPr="00FD33A1">
        <w:rPr>
          <w:rFonts w:ascii="Times New Roman" w:hAnsi="Times New Roman" w:cs="Times New Roman"/>
          <w:color w:val="000000" w:themeColor="text1"/>
        </w:rPr>
        <w:t>’</w:t>
      </w:r>
      <w:r w:rsidR="001D0D42">
        <w:rPr>
          <w:rFonts w:ascii="Times New Roman" w:hAnsi="Times New Roman" w:cs="Times New Roman"/>
          <w:color w:val="000000" w:themeColor="text1"/>
        </w:rPr>
        <w:t>.</w:t>
      </w:r>
      <w:r w:rsidR="001D0D42">
        <w:rPr>
          <w:rStyle w:val="Rimandonotaapidipagina"/>
          <w:rFonts w:ascii="Times New Roman" w:hAnsi="Times New Roman" w:cs="Times New Roman"/>
          <w:color w:val="000000" w:themeColor="text1"/>
        </w:rPr>
        <w:footnoteReference w:id="33"/>
      </w:r>
      <w:r w:rsidRPr="00FD33A1">
        <w:rPr>
          <w:rFonts w:ascii="Times New Roman" w:hAnsi="Times New Roman" w:cs="Times New Roman"/>
          <w:color w:val="000000" w:themeColor="text1"/>
        </w:rPr>
        <w:t xml:space="preserve"> While some Dalit workers told us that if they rest for too long they are ‘scolded’, they agree that nothing serious happens</w:t>
      </w:r>
      <w:r w:rsidR="001D0D42">
        <w:rPr>
          <w:rStyle w:val="Rimandonotaapidipagina"/>
          <w:rFonts w:ascii="Times New Roman" w:hAnsi="Times New Roman" w:cs="Times New Roman"/>
          <w:color w:val="000000" w:themeColor="text1"/>
        </w:rPr>
        <w:footnoteReference w:id="34"/>
      </w:r>
      <w:r w:rsidRPr="00FD33A1">
        <w:rPr>
          <w:rFonts w:ascii="Times New Roman" w:hAnsi="Times New Roman" w:cs="Times New Roman"/>
          <w:color w:val="000000" w:themeColor="text1"/>
        </w:rPr>
        <w:t xml:space="preserve">. They also noted that they can now freely refuse to work for the big farmers, which was not the case 10 or 20 years ago: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they [the farmer] will get angry. But nothing happens</w:t>
      </w:r>
      <w:r w:rsidR="009D79B3" w:rsidRPr="00FD33A1">
        <w:rPr>
          <w:rFonts w:ascii="Times New Roman" w:hAnsi="Times New Roman" w:cs="Times New Roman"/>
          <w:color w:val="000000" w:themeColor="text1"/>
        </w:rPr>
        <w:t>’</w:t>
      </w:r>
      <w:r w:rsidR="001D0D42">
        <w:rPr>
          <w:rFonts w:ascii="Times New Roman" w:hAnsi="Times New Roman" w:cs="Times New Roman"/>
          <w:color w:val="000000" w:themeColor="text1"/>
        </w:rPr>
        <w:t>.</w:t>
      </w:r>
      <w:r w:rsidR="001D0D42">
        <w:rPr>
          <w:rStyle w:val="Rimandonotaapidipagina"/>
          <w:rFonts w:ascii="Times New Roman" w:hAnsi="Times New Roman" w:cs="Times New Roman"/>
          <w:color w:val="000000" w:themeColor="text1"/>
        </w:rPr>
        <w:footnoteReference w:id="35"/>
      </w:r>
    </w:p>
    <w:p w14:paraId="1F1641B0"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33E2B702" w14:textId="50A21E44"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The questioning of social norms also happens outside of the realm of workers-</w:t>
      </w:r>
      <w:proofErr w:type="gramStart"/>
      <w:r w:rsidRPr="00FD33A1">
        <w:rPr>
          <w:rFonts w:ascii="Times New Roman" w:hAnsi="Times New Roman" w:cs="Times New Roman"/>
          <w:color w:val="000000" w:themeColor="text1"/>
        </w:rPr>
        <w:t>labourers</w:t>
      </w:r>
      <w:proofErr w:type="gramEnd"/>
      <w:r w:rsidRPr="00FD33A1">
        <w:rPr>
          <w:rFonts w:ascii="Times New Roman" w:hAnsi="Times New Roman" w:cs="Times New Roman"/>
          <w:color w:val="000000" w:themeColor="text1"/>
        </w:rPr>
        <w:t xml:space="preserve"> relations. A farmer from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reported that when he meets his labourers in the </w:t>
      </w:r>
      <w:proofErr w:type="gramStart"/>
      <w:r w:rsidRPr="00FD33A1">
        <w:rPr>
          <w:rFonts w:ascii="Times New Roman" w:hAnsi="Times New Roman" w:cs="Times New Roman"/>
          <w:color w:val="000000" w:themeColor="text1"/>
        </w:rPr>
        <w:t>village</w:t>
      </w:r>
      <w:proofErr w:type="gramEnd"/>
      <w:r w:rsidRPr="00FD33A1">
        <w:rPr>
          <w:rFonts w:ascii="Times New Roman" w:hAnsi="Times New Roman" w:cs="Times New Roman"/>
          <w:color w:val="000000" w:themeColor="text1"/>
        </w:rPr>
        <w:t xml:space="preserve"> they would smoke in front of him. ‘My father told me that labourers would never smoke if he was present, but now they do that without any problem. My father was a respected person in the village, but we are not respected anymore […] but if you want to continue to do farming, you have to tolerate all this</w:t>
      </w:r>
      <w:r w:rsidR="002418F6">
        <w:rPr>
          <w:rStyle w:val="Rimandonotaapidipagina"/>
          <w:rFonts w:ascii="Times New Roman" w:hAnsi="Times New Roman" w:cs="Times New Roman"/>
          <w:color w:val="000000" w:themeColor="text1"/>
        </w:rPr>
        <w:footnoteReference w:id="36"/>
      </w:r>
      <w:r w:rsidRPr="00FD33A1">
        <w:rPr>
          <w:rFonts w:ascii="Times New Roman" w:hAnsi="Times New Roman" w:cs="Times New Roman"/>
          <w:color w:val="000000" w:themeColor="text1"/>
        </w:rPr>
        <w:t xml:space="preserve">. Another landowner from the same village remarked that ‘it is very sad that people now feel free to challenge the rules that regulate the </w:t>
      </w:r>
      <w:proofErr w:type="gramStart"/>
      <w:r w:rsidRPr="00FD33A1">
        <w:rPr>
          <w:rFonts w:ascii="Times New Roman" w:hAnsi="Times New Roman" w:cs="Times New Roman"/>
          <w:color w:val="000000" w:themeColor="text1"/>
        </w:rPr>
        <w:t>village</w:t>
      </w:r>
      <w:proofErr w:type="gramEnd"/>
      <w:r w:rsidRPr="00FD33A1">
        <w:rPr>
          <w:rFonts w:ascii="Times New Roman" w:hAnsi="Times New Roman" w:cs="Times New Roman"/>
          <w:color w:val="000000" w:themeColor="text1"/>
        </w:rPr>
        <w:t xml:space="preserve"> and we can’t do anything about that. Sometimes you want to kill yourself because of the humiliation that you have to go through when you deal with them’</w:t>
      </w:r>
      <w:r w:rsidR="002418F6">
        <w:rPr>
          <w:rFonts w:ascii="Times New Roman" w:hAnsi="Times New Roman" w:cs="Times New Roman"/>
          <w:color w:val="000000" w:themeColor="text1"/>
        </w:rPr>
        <w:t>.</w:t>
      </w:r>
      <w:r w:rsidR="002418F6">
        <w:rPr>
          <w:rStyle w:val="Rimandonotaapidipagina"/>
          <w:rFonts w:ascii="Times New Roman" w:hAnsi="Times New Roman" w:cs="Times New Roman"/>
          <w:color w:val="000000" w:themeColor="text1"/>
        </w:rPr>
        <w:footnoteReference w:id="37"/>
      </w:r>
      <w:r w:rsidRPr="00FD33A1">
        <w:rPr>
          <w:rFonts w:ascii="Times New Roman" w:hAnsi="Times New Roman" w:cs="Times New Roman"/>
          <w:color w:val="000000" w:themeColor="text1"/>
        </w:rPr>
        <w:t xml:space="preserve"> Similar examples were recurrent in the interviews with both farmers and labourers to show that a great deal of social change has happened through these implicit negotiations. Dalits can now have a tea at the village’s stall, sitting on the bench as everyone else, and addressing the upper caste owner with ‘mama’, a Telugu expression meaning ‘uncle’, a very friendly and informal way of addressing someone; they can walk through the upper caste section of the village with their sandals on, and sit in the third row of chairs during the Gram Sabha, the village council – although not in the very first row –  wearing whatever they like to wear</w:t>
      </w:r>
      <w:r w:rsidR="001D0D42">
        <w:rPr>
          <w:rFonts w:ascii="Times New Roman" w:hAnsi="Times New Roman" w:cs="Times New Roman"/>
          <w:color w:val="000000" w:themeColor="text1"/>
        </w:rPr>
        <w:t>.</w:t>
      </w:r>
      <w:r w:rsidR="001D0D42">
        <w:rPr>
          <w:rStyle w:val="Rimandonotaapidipagina"/>
          <w:rFonts w:ascii="Times New Roman" w:hAnsi="Times New Roman" w:cs="Times New Roman"/>
          <w:color w:val="000000" w:themeColor="text1"/>
        </w:rPr>
        <w:footnoteReference w:id="38"/>
      </w:r>
    </w:p>
    <w:p w14:paraId="1B9398CD"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859B87C" w14:textId="1A289090"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Some of these negotiations touch the heart of caste norms, blurring the ‘impurity line’ that condemn Dalits to the bottom of the social order. In Guntur district, while conducting an interview with a Dalit labourer, an upper caste landowner came to the </w:t>
      </w:r>
      <w:r w:rsidRPr="00FD33A1">
        <w:rPr>
          <w:rFonts w:ascii="Times New Roman" w:hAnsi="Times New Roman" w:cs="Times New Roman"/>
        </w:rPr>
        <w:t>research participants’</w:t>
      </w:r>
      <w:r w:rsidRPr="00FD33A1">
        <w:rPr>
          <w:rFonts w:ascii="Times New Roman" w:hAnsi="Times New Roman" w:cs="Times New Roman"/>
          <w:color w:val="000000" w:themeColor="text1"/>
        </w:rPr>
        <w:t xml:space="preserve"> house to ask her to assemble a few labourers to work in his field. Then he asked the woman’s daughter to give him a glass of water, which she promptly offered in a metal cup. He drank and then left. Our respondent was quick to make us notice how this is a clear sign of how </w:t>
      </w:r>
      <w:r w:rsidRPr="00FD33A1">
        <w:rPr>
          <w:rFonts w:ascii="Times New Roman" w:hAnsi="Times New Roman" w:cs="Times New Roman"/>
          <w:color w:val="000000" w:themeColor="text1"/>
        </w:rPr>
        <w:lastRenderedPageBreak/>
        <w:t>things have changed in the last few years.</w:t>
      </w:r>
      <w:r w:rsidR="001D0D42">
        <w:rPr>
          <w:rStyle w:val="Rimandonotaapidipagina"/>
          <w:rFonts w:ascii="Times New Roman" w:hAnsi="Times New Roman" w:cs="Times New Roman"/>
          <w:color w:val="000000" w:themeColor="text1"/>
        </w:rPr>
        <w:footnoteReference w:id="39"/>
      </w:r>
      <w:r w:rsidRPr="00FD33A1">
        <w:rPr>
          <w:rFonts w:ascii="Times New Roman" w:hAnsi="Times New Roman" w:cs="Times New Roman"/>
          <w:color w:val="000000" w:themeColor="text1"/>
        </w:rPr>
        <w:t xml:space="preserve"> Clearly, the landlord consciously chose to ask for a glass of water and to drink before leaving as a sign of respect. Other Dalit labourers from the same village told us that now upper caste landowners drink their water when they come to ask them to work in their fields. Indeed, the very fact that landowners come to the Dalit colony was seen as a major change by our Dalit </w:t>
      </w:r>
      <w:r w:rsidRPr="00FD33A1">
        <w:rPr>
          <w:rFonts w:ascii="Times New Roman" w:hAnsi="Times New Roman" w:cs="Times New Roman"/>
        </w:rPr>
        <w:t>research participants</w:t>
      </w:r>
      <w:r w:rsidRPr="00FD33A1">
        <w:rPr>
          <w:rFonts w:ascii="Times New Roman" w:hAnsi="Times New Roman" w:cs="Times New Roman"/>
          <w:color w:val="000000" w:themeColor="text1"/>
        </w:rPr>
        <w:t>, who remember that in the past it was them who had to approach the landlord and ‘beg’ for work. These are all major changes that touch the core of the social norms that have ensured the upper castes domination upon the Dalits.</w:t>
      </w:r>
    </w:p>
    <w:p w14:paraId="75070F83"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2AEB03B6" w14:textId="2602966A"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Of course, this does not mean that the practice of untouchability has disappeared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{"citationItems":[{"id":"ITEM-1","itemData":{"author":[{"dropping-particle":"","family":"Navsarjan Trust","given":"","non-dropping-particle":"","parse-names":false,"suffix":""},{"dropping-particle":"","family":"RFK Center","given":"","non-dropping-particle":"","parse-names":false,"suffix":""}],"id":"ITEM-1","issued":{"date-parts":[["2010"]]},"title":"Understanding Untouchability","type":"report"},"uris":["http://www.mendeley.com/documents/?uuid=17c10ce2-6b6c-499d-a6be-2a812ae9fdcb"]},{"id":"ITEM-2","itemData":{"DOI":"10.1111/dech.12311","ISSN":"0012155X","author":[{"dropping-particle":"","family":"Borooah","given":"Vani Kant","non-dropping-particle":"","parse-names":false,"suffix":""}],"container-title":"Development and Change","id":"ITEM-2","issue":"4","issued":{"date-parts":[["2017","7","1"]]},"page":"746-774","title":"Caste and Regional Influences on the Practice of ‘Untouchability’ in India","type":"article-journal","volume":"48"},"uris":["http://www.mendeley.com/documents/?uuid=c5ded6f8-cdb6-3813-aaa4-053a6767eaac"]}],"mendeley":{"formattedCitation":"(Borooah, 2017; Navsarjan Trust &amp; RFK Center, 2010)","plainTextFormattedCitation":"(Borooah, 2017; Navsarjan Trust &amp; RFK Center, 2010)","previouslyFormattedCitation":"(Borooah, 2017; Navsarjan Trust &amp; RFK Center, 2010)"},"properties":{"noteIndex":0},"schema":"https://github.com/citation-style-language/schema/raw/master/csl-citation.json"}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(Borooah, 2017; Navsarjan Trust &amp; RFK Center, 2010)</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In most cases, water sources, for instance, are still strictly segregated, not to mention marriage arrangements. When labourers were asked if they had ever entered the house of their employers, most responded that they never did, as this was ‘strictly prohibited’. In one of our fieldwork villages in Fatehpur, UP, for example, an OBC woman told us that they are ‘allowed’ to take water from a hand pump in front of a Brahmin’s house which had been installed by the government for common use. Despite several attempts by villagers to get water from the pump, they still cannot access it because doing so would attract a violent reaction</w:t>
      </w:r>
      <w:r w:rsidR="00E17D06">
        <w:rPr>
          <w:rFonts w:ascii="Times New Roman" w:hAnsi="Times New Roman" w:cs="Times New Roman"/>
          <w:color w:val="000000" w:themeColor="text1"/>
        </w:rPr>
        <w:t>.</w:t>
      </w:r>
      <w:r w:rsidR="00E17D06">
        <w:rPr>
          <w:rStyle w:val="Rimandonotaapidipagina"/>
          <w:rFonts w:ascii="Times New Roman" w:hAnsi="Times New Roman" w:cs="Times New Roman"/>
          <w:color w:val="000000" w:themeColor="text1"/>
        </w:rPr>
        <w:footnoteReference w:id="40"/>
      </w:r>
      <w:r w:rsidRPr="00FD33A1">
        <w:rPr>
          <w:rFonts w:ascii="Times New Roman" w:hAnsi="Times New Roman" w:cs="Times New Roman"/>
          <w:color w:val="000000" w:themeColor="text1"/>
        </w:rPr>
        <w:t xml:space="preserve"> Instead, they take water from a tap in a school which is open only for two hours each day. However, the questioning of the traditional social order by Dalits labourers is embedded in a process of continuing negotiation of these norms that, slowly, do lead to important social change and, in the process, redefine power relations at grassroots. In other words, what we refer to as an erosion of caste norms.</w:t>
      </w:r>
    </w:p>
    <w:p w14:paraId="14FA1EFB"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A83500F"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It is important to note that the very fact that these processes are present suggests that the elites are not </w:t>
      </w:r>
      <w:r w:rsidRPr="00FD33A1">
        <w:rPr>
          <w:rFonts w:ascii="Times New Roman" w:hAnsi="Times New Roman" w:cs="Times New Roman"/>
          <w:i/>
          <w:color w:val="000000" w:themeColor="text1"/>
        </w:rPr>
        <w:t>exclusively</w:t>
      </w:r>
      <w:r w:rsidRPr="00FD33A1">
        <w:rPr>
          <w:rFonts w:ascii="Times New Roman" w:hAnsi="Times New Roman" w:cs="Times New Roman"/>
          <w:color w:val="000000" w:themeColor="text1"/>
        </w:rPr>
        <w:t xml:space="preserve"> concerned about playing the role of the oppressors who try in every possible way to keep oppressing the oppressed (Scott 1985, Ch. 7; Pattenden 2016). To be sure, this is certainly one of their main preoccupations, which is logical since any actor in a negotiation tries to pursue their own interests and, undoubtedly, a key interest of rich, upper caste landowners is to maintain their power position and control over the labour force.</w:t>
      </w:r>
    </w:p>
    <w:p w14:paraId="7AA33739"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628A7580" w14:textId="5A54E961"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In one of the fieldwork locations (</w:t>
      </w:r>
      <w:proofErr w:type="spellStart"/>
      <w:r w:rsidRPr="00FD33A1">
        <w:rPr>
          <w:rFonts w:ascii="Times New Roman" w:hAnsi="Times New Roman" w:cs="Times New Roman"/>
          <w:color w:val="000000" w:themeColor="text1"/>
        </w:rPr>
        <w:t>Anantpur</w:t>
      </w:r>
      <w:proofErr w:type="spellEnd"/>
      <w:r w:rsidRPr="00FD33A1">
        <w:rPr>
          <w:rFonts w:ascii="Times New Roman" w:hAnsi="Times New Roman" w:cs="Times New Roman"/>
          <w:color w:val="000000" w:themeColor="text1"/>
        </w:rPr>
        <w:t xml:space="preserve">), for instance, the big landlords were making </w:t>
      </w:r>
      <w:r w:rsidRPr="00FD33A1">
        <w:rPr>
          <w:rFonts w:ascii="Times New Roman" w:hAnsi="Times New Roman" w:cs="Times New Roman"/>
          <w:color w:val="000000" w:themeColor="text1"/>
        </w:rPr>
        <w:lastRenderedPageBreak/>
        <w:t xml:space="preserve">significant efforts to maintain the monopoly of the local credit market. One Dalit labourer told us that ‘there is no moneylender in the village. The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xml:space="preserve"> will not let that happen. A few years back a BC</w:t>
      </w:r>
      <w:r w:rsidR="00F90ECF">
        <w:rPr>
          <w:rFonts w:ascii="Times New Roman" w:hAnsi="Times New Roman" w:cs="Times New Roman"/>
          <w:color w:val="000000" w:themeColor="text1"/>
        </w:rPr>
        <w:t xml:space="preserve"> (Backward Caste)</w:t>
      </w:r>
      <w:r w:rsidRPr="00FD33A1">
        <w:rPr>
          <w:rStyle w:val="Rimandonotaapidipagina"/>
          <w:rFonts w:ascii="Times New Roman" w:hAnsi="Times New Roman" w:cs="Times New Roman"/>
          <w:color w:val="000000" w:themeColor="text1"/>
        </w:rPr>
        <w:footnoteReference w:id="41"/>
      </w:r>
      <w:r w:rsidR="00F90ECF">
        <w:rPr>
          <w:rFonts w:ascii="Times New Roman" w:hAnsi="Times New Roman" w:cs="Times New Roman"/>
          <w:color w:val="000000" w:themeColor="text1"/>
        </w:rPr>
        <w:t xml:space="preserve"> </w:t>
      </w:r>
      <w:r w:rsidRPr="00FD33A1">
        <w:rPr>
          <w:rFonts w:ascii="Times New Roman" w:hAnsi="Times New Roman" w:cs="Times New Roman"/>
          <w:color w:val="000000" w:themeColor="text1"/>
        </w:rPr>
        <w:t>farmer started lending money but was beaten up.’</w:t>
      </w:r>
      <w:r w:rsidR="00F90ECF">
        <w:rPr>
          <w:rStyle w:val="Rimandonotaapidipagina"/>
          <w:rFonts w:ascii="Times New Roman" w:hAnsi="Times New Roman" w:cs="Times New Roman"/>
          <w:color w:val="000000" w:themeColor="text1"/>
        </w:rPr>
        <w:footnoteReference w:id="42"/>
      </w:r>
      <w:r w:rsidRPr="00FD33A1">
        <w:rPr>
          <w:rFonts w:ascii="Times New Roman" w:hAnsi="Times New Roman" w:cs="Times New Roman"/>
          <w:color w:val="000000" w:themeColor="text1"/>
        </w:rPr>
        <w:t xml:space="preserve"> Another Dalit labourer confirmed that the credit market is completely in the hands of the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xml:space="preserve"> and that the few BC farmers that were lending tiny amounts of money, were doing this only for people that they trusted, as they did not want the </w:t>
      </w:r>
      <w:proofErr w:type="spellStart"/>
      <w:r w:rsidRPr="00FD33A1">
        <w:rPr>
          <w:rFonts w:ascii="Times New Roman" w:hAnsi="Times New Roman" w:cs="Times New Roman"/>
          <w:color w:val="000000" w:themeColor="text1"/>
        </w:rPr>
        <w:t>Reddies</w:t>
      </w:r>
      <w:proofErr w:type="spellEnd"/>
      <w:r w:rsidRPr="00FD33A1">
        <w:rPr>
          <w:rFonts w:ascii="Times New Roman" w:hAnsi="Times New Roman" w:cs="Times New Roman"/>
          <w:color w:val="000000" w:themeColor="text1"/>
        </w:rPr>
        <w:t xml:space="preserve"> to know</w:t>
      </w:r>
      <w:r w:rsidR="00F90ECF">
        <w:rPr>
          <w:rFonts w:ascii="Times New Roman" w:hAnsi="Times New Roman" w:cs="Times New Roman"/>
          <w:color w:val="000000" w:themeColor="text1"/>
        </w:rPr>
        <w:t>.</w:t>
      </w:r>
      <w:r w:rsidR="00F90ECF">
        <w:rPr>
          <w:rStyle w:val="Rimandonotaapidipagina"/>
          <w:rFonts w:ascii="Times New Roman" w:hAnsi="Times New Roman" w:cs="Times New Roman"/>
          <w:color w:val="000000" w:themeColor="text1"/>
        </w:rPr>
        <w:footnoteReference w:id="43"/>
      </w:r>
      <w:r w:rsidRPr="00FD33A1">
        <w:rPr>
          <w:rFonts w:ascii="Times New Roman" w:hAnsi="Times New Roman" w:cs="Times New Roman"/>
          <w:color w:val="000000" w:themeColor="text1"/>
        </w:rPr>
        <w:t xml:space="preserve"> Also, landowner-moneylenders, according to virtually every labourer we spoke to, are ready to lend money only as long as the debt is </w:t>
      </w:r>
      <w:r w:rsidRPr="00FD33A1">
        <w:rPr>
          <w:rFonts w:ascii="Times New Roman" w:hAnsi="Times New Roman" w:cs="Times New Roman"/>
          <w:i/>
          <w:color w:val="000000" w:themeColor="text1"/>
        </w:rPr>
        <w:t xml:space="preserve">not </w:t>
      </w:r>
      <w:r w:rsidRPr="00FD33A1">
        <w:rPr>
          <w:rFonts w:ascii="Times New Roman" w:hAnsi="Times New Roman" w:cs="Times New Roman"/>
          <w:color w:val="000000" w:themeColor="text1"/>
        </w:rPr>
        <w:t>repaid in cash, but through labour. In this way, they can ensure, on the one hand, a pool of indebted labourers readily available for work. On the other hand, as farmers in Guntur district emphasized, the importance of controlling the credit market is crucial because indebted labourers will not bargain for a higher wage when the agricultural season comes</w:t>
      </w:r>
      <w:r w:rsidR="00E17D06">
        <w:rPr>
          <w:rFonts w:ascii="Times New Roman" w:hAnsi="Times New Roman" w:cs="Times New Roman"/>
          <w:color w:val="000000" w:themeColor="text1"/>
        </w:rPr>
        <w:t>.</w:t>
      </w:r>
      <w:r w:rsidR="00E17D06">
        <w:rPr>
          <w:rStyle w:val="Rimandonotaapidipagina"/>
          <w:rFonts w:ascii="Times New Roman" w:hAnsi="Times New Roman" w:cs="Times New Roman"/>
          <w:color w:val="000000" w:themeColor="text1"/>
        </w:rPr>
        <w:footnoteReference w:id="44"/>
      </w:r>
      <w:r w:rsidRPr="00FD33A1">
        <w:rPr>
          <w:rFonts w:ascii="Times New Roman" w:hAnsi="Times New Roman" w:cs="Times New Roman"/>
          <w:color w:val="000000" w:themeColor="text1"/>
        </w:rPr>
        <w:t xml:space="preserve"> This reminds of the situation in UP, where the main source of credit are big farmers who ask for a collateral, before giving credit. This is given in the form of gold jewellery or land and is a potent source of dependency as indebted Dalits cannot simply afford to default on their debt and would be ready to accept harsh labour conditions to avoid losing their (only) valuable goods.</w:t>
      </w:r>
      <w:r w:rsidR="001D0D42">
        <w:rPr>
          <w:rStyle w:val="Rimandonotaapidipagina"/>
          <w:rFonts w:ascii="Times New Roman" w:hAnsi="Times New Roman" w:cs="Times New Roman"/>
          <w:color w:val="000000" w:themeColor="text1"/>
        </w:rPr>
        <w:footnoteReference w:id="45"/>
      </w:r>
    </w:p>
    <w:p w14:paraId="74CA89A3"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p>
    <w:p w14:paraId="190F1FC3" w14:textId="6329BD75"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Other strategies employed by landed farmers in our fieldwork locations in both AP and UP to reduce their dependence on labourers and to maintain their power position include investments for the mechanization of agricultural operations in order to reduce their dependence on labourers; the imposition of draconian sharecropping agreements, whereby labourers must give the landlords up to 75 per cent of the crop; ‘divide and rule’ strategies, like offering zero-interests loans, or preferential access to public services or social policy to some Dalit labourers and not others, or offering drinks in order to foster jealousy and rivalry within the Dalit community and prevent class/caste solidarity to emerge; denying access to the fields for defecation or for grazing animals; or sharing the </w:t>
      </w:r>
      <w:r w:rsidRPr="00FD33A1">
        <w:rPr>
          <w:rFonts w:ascii="Times New Roman" w:hAnsi="Times New Roman" w:cs="Times New Roman"/>
          <w:i/>
          <w:color w:val="000000" w:themeColor="text1"/>
        </w:rPr>
        <w:t xml:space="preserve">gram </w:t>
      </w:r>
      <w:proofErr w:type="spellStart"/>
      <w:r w:rsidRPr="00FD33A1">
        <w:rPr>
          <w:rFonts w:ascii="Times New Roman" w:hAnsi="Times New Roman" w:cs="Times New Roman"/>
          <w:i/>
          <w:color w:val="000000" w:themeColor="text1"/>
        </w:rPr>
        <w:t>samaj</w:t>
      </w:r>
      <w:proofErr w:type="spellEnd"/>
      <w:r w:rsidRPr="00FD33A1">
        <w:rPr>
          <w:rFonts w:ascii="Times New Roman" w:hAnsi="Times New Roman" w:cs="Times New Roman"/>
          <w:color w:val="000000" w:themeColor="text1"/>
        </w:rPr>
        <w:t xml:space="preserve"> land with some </w:t>
      </w:r>
      <w:r w:rsidRPr="00FD33A1">
        <w:rPr>
          <w:rFonts w:ascii="Times New Roman" w:hAnsi="Times New Roman" w:cs="Times New Roman"/>
          <w:color w:val="000000" w:themeColor="text1"/>
        </w:rPr>
        <w:lastRenderedPageBreak/>
        <w:t>Dalit families and not others.</w:t>
      </w:r>
      <w:r w:rsidRPr="00FD33A1">
        <w:rPr>
          <w:rStyle w:val="Rimandonotaapidipagina"/>
          <w:rFonts w:ascii="Times New Roman" w:hAnsi="Times New Roman" w:cs="Times New Roman"/>
          <w:color w:val="000000" w:themeColor="text1"/>
        </w:rPr>
        <w:footnoteReference w:id="46"/>
      </w:r>
      <w:r w:rsidRPr="00FD33A1">
        <w:rPr>
          <w:rFonts w:ascii="Times New Roman" w:hAnsi="Times New Roman" w:cs="Times New Roman"/>
          <w:color w:val="000000" w:themeColor="text1"/>
        </w:rPr>
        <w:t>All these and other strategies</w:t>
      </w:r>
      <w:r w:rsidRPr="00FD33A1">
        <w:rPr>
          <w:rStyle w:val="Rimandonotaapidipagina"/>
          <w:rFonts w:ascii="Times New Roman" w:hAnsi="Times New Roman" w:cs="Times New Roman"/>
          <w:color w:val="000000" w:themeColor="text1"/>
        </w:rPr>
        <w:footnoteReference w:id="47"/>
      </w:r>
      <w:r w:rsidRPr="00FD33A1">
        <w:rPr>
          <w:rFonts w:ascii="Times New Roman" w:hAnsi="Times New Roman" w:cs="Times New Roman"/>
          <w:color w:val="000000" w:themeColor="text1"/>
        </w:rPr>
        <w:t xml:space="preserve"> aim at reducing the landlords’ dependence on the labourers, crashing their bargaining power, and, more generally, to keep them in ‘in their place’</w:t>
      </w:r>
      <w:r w:rsidR="00D567B7">
        <w:rPr>
          <w:rFonts w:ascii="Times New Roman" w:hAnsi="Times New Roman" w:cs="Times New Roman"/>
          <w:color w:val="000000" w:themeColor="text1"/>
        </w:rPr>
        <w:t>.</w:t>
      </w:r>
    </w:p>
    <w:p w14:paraId="744244E4" w14:textId="77777777" w:rsidR="00504C4D" w:rsidRPr="00FD33A1" w:rsidRDefault="00504C4D" w:rsidP="00CF2606">
      <w:pPr>
        <w:widowControl w:val="0"/>
        <w:tabs>
          <w:tab w:val="left" w:pos="5103"/>
        </w:tabs>
        <w:autoSpaceDE w:val="0"/>
        <w:autoSpaceDN w:val="0"/>
        <w:adjustRightInd w:val="0"/>
        <w:spacing w:line="360" w:lineRule="auto"/>
        <w:rPr>
          <w:rFonts w:ascii="Times New Roman" w:hAnsi="Times New Roman" w:cs="Times New Roman"/>
          <w:color w:val="000000" w:themeColor="text1"/>
        </w:rPr>
      </w:pPr>
    </w:p>
    <w:p w14:paraId="2D59E2DA" w14:textId="53741981"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However, the role of the elites does not end there. As the above examples demonstrate, by choosing – reluctantly, to be sure – to prioritise the maintenance of cordial</w:t>
      </w:r>
      <w:r w:rsidRPr="00FD33A1">
        <w:rPr>
          <w:rStyle w:val="Rimandocommento"/>
          <w:rFonts w:ascii="Times New Roman" w:eastAsiaTheme="minorHAnsi" w:hAnsi="Times New Roman" w:cs="Times New Roman"/>
          <w:color w:val="000000" w:themeColor="text1"/>
          <w:sz w:val="24"/>
          <w:szCs w:val="24"/>
        </w:rPr>
        <w:t>, collaborative and peaceful r</w:t>
      </w:r>
      <w:r w:rsidRPr="00FD33A1">
        <w:rPr>
          <w:rFonts w:ascii="Times New Roman" w:hAnsi="Times New Roman" w:cs="Times New Roman"/>
          <w:color w:val="000000" w:themeColor="text1"/>
        </w:rPr>
        <w:t xml:space="preserve">elations with their labourers at the cost of the erosion of their social status and of their power position, rural elites are promoting, unwittingly, positive social change. Of course, this has much to do with the increased assertiveness of the Dalit labourers themselves, who are willing to risk provoking potentially violent and even lethal reactions by the elites in order to stress their right to, for example, going to relieve themselves without asking permission or smoking in front of an upper caste landlord. The willingness of landed employers to negotiate (explicitly and implicitly) and compromise with the labourers is mainly due to pragmatism. In a context where agriculture is engulfed in a prolonged crisis that shows no sign of easing off, where climate conditions are changing (and most farmers have scarce adaptation capacity), where labourers are increasingly more aware and assertive of their rights even at the risk of provoking violent reactions by landed elite and, at least in villages not far from urban centres (like the ones where we conducted fieldwork) there is a relative scarcity of rural labour, the elites have little choice but to compromise. When they do not (or when they retaliate violently), they know that this will come at a considerable cost, which could ultimately threaten their economic position: on the one hand, the cordial relations with the labourers would be broken, which could affect their (already meagre) profits from agriculture; on the other hand, acts such as the Scheduled Castes and Scheduled Tribes (prevention of) Atrocities Act, 1989, even though they are implemented only partially and conviction rates are extremely low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{"citationItems":[{"id":"ITEM-1","itemData":{"author":[{"dropping-particle":"","family":"Ministry of Home Affairs","given":"","non-dropping-particle":"","parse-names":false,"suffix":""}],"id":"ITEM-1","issued":{"date-parts":[["2015"]]},"publisher-place":"New Delhi","title":"Crime in India Report","type":"report"},"label":"chapter","locator":"7","uris":["http://www.mendeley.com/documents/?uuid=c163db83-e0f3-4c03-8945-28dda26aa589"]}],"mendeley":{"formattedCitation":"(Ministry of Home Affairs, 2015, Chapter 7)","plainTextFormattedCitation":"(Ministry of Home Affairs, 2015, Chapter 7)","previouslyFormattedCitation":"(Ministry of Home Affairs, 2015, Chapter 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(Ministry of Home Affairs, 2015, Chapter 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are nevertheless taken seriously enough by the state authorities to ensure that at least a long and expensive trial would follow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10.1111/dech.12190","ISSN":"0012155X","author":[{"dropping-particle":"","family":"Carswell","given":"Grace","non-dropping-particle":"","parse-names":false,"suffix":""},{"dropping-particle":"","family":"Neve","given":"Geert","non-dropping-particle":"De","parse-names":false,"suffix":""}],"container-title":"Development and Change","id":"ITEM-1","issue":"5","issued":{"date-parts":[["2015","9","1"]]},"page":"1106-1132","title":"Litigation against Political Organization? The Politics of Dalit Mobilization in Tamil Nadu, India","type":"article-journal","volume":"46"},"uris":["http://www.mendeley.com/documents/?uuid=a6028680-d97f-3326-a0dc-42010d29dea5"]}],"mendeley":{"formattedCitation":"(Carswell &amp; De Neve, 2015)","plainTextFormattedCitation":"(Carswell &amp; De Neve, 2015)","previouslyFormattedCitation":"(Carswell &amp; De Neve, 2015)"},"properties":{"noteIndex":0},"schema":"https://github.com/citation-style-language/schema/raw/master/csl-citation.json"}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(Carswell &amp; De Neve, 2015)</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One of the farmers we spoke to sarcastically commented that ‘you cannot even question them. </w:t>
      </w:r>
      <w:r w:rsidR="00486CFA" w:rsidRPr="00FD33A1">
        <w:rPr>
          <w:rFonts w:ascii="Times New Roman" w:hAnsi="Times New Roman" w:cs="Times New Roman"/>
          <w:color w:val="000000" w:themeColor="text1"/>
        </w:rPr>
        <w:t>Otherwise,</w:t>
      </w:r>
      <w:r w:rsidRPr="00FD33A1">
        <w:rPr>
          <w:rFonts w:ascii="Times New Roman" w:hAnsi="Times New Roman" w:cs="Times New Roman"/>
          <w:color w:val="000000" w:themeColor="text1"/>
        </w:rPr>
        <w:t xml:space="preserve"> they will file a case against you!’</w:t>
      </w:r>
      <w:r w:rsidR="00486CFA">
        <w:rPr>
          <w:rFonts w:ascii="Times New Roman" w:hAnsi="Times New Roman" w:cs="Times New Roman"/>
          <w:color w:val="000000" w:themeColor="text1"/>
        </w:rPr>
        <w:t>.</w:t>
      </w:r>
      <w:r w:rsidR="00486CFA">
        <w:rPr>
          <w:rStyle w:val="Rimandonotaapidipagina"/>
          <w:rFonts w:ascii="Times New Roman" w:hAnsi="Times New Roman" w:cs="Times New Roman"/>
          <w:color w:val="000000" w:themeColor="text1"/>
        </w:rPr>
        <w:footnoteReference w:id="48"/>
      </w:r>
      <w:r w:rsidRPr="00FD33A1">
        <w:rPr>
          <w:rFonts w:ascii="Times New Roman" w:hAnsi="Times New Roman" w:cs="Times New Roman"/>
          <w:color w:val="000000" w:themeColor="text1"/>
        </w:rPr>
        <w:t xml:space="preserve">  Furthermore, it is clear from interviewing farmers from different generations that the younger (and more educated) cohort is aware that ‘times have changed’ and that they </w:t>
      </w:r>
      <w:r w:rsidRPr="00FD33A1">
        <w:rPr>
          <w:rFonts w:ascii="Times New Roman" w:hAnsi="Times New Roman" w:cs="Times New Roman"/>
          <w:color w:val="000000" w:themeColor="text1"/>
        </w:rPr>
        <w:lastRenderedPageBreak/>
        <w:t>‘do not live in the past century anymore’</w:t>
      </w:r>
      <w:r w:rsidR="00486CFA">
        <w:rPr>
          <w:rFonts w:ascii="Times New Roman" w:hAnsi="Times New Roman" w:cs="Times New Roman"/>
          <w:color w:val="000000" w:themeColor="text1"/>
        </w:rPr>
        <w:t>.</w:t>
      </w:r>
      <w:r w:rsidR="00486CFA">
        <w:rPr>
          <w:rStyle w:val="Rimandonotaapidipagina"/>
          <w:rFonts w:ascii="Times New Roman" w:hAnsi="Times New Roman" w:cs="Times New Roman"/>
          <w:color w:val="000000" w:themeColor="text1"/>
        </w:rPr>
        <w:footnoteReference w:id="49"/>
      </w:r>
      <w:r w:rsidRPr="00FD33A1">
        <w:rPr>
          <w:rFonts w:ascii="Times New Roman" w:hAnsi="Times New Roman" w:cs="Times New Roman"/>
          <w:color w:val="000000" w:themeColor="text1"/>
        </w:rPr>
        <w:t xml:space="preserve"> A Dalit labourer in Guntur district concurs: ‘the younger generations do not want to fight and the younger Kammas</w:t>
      </w:r>
      <w:r w:rsidRPr="00FD33A1">
        <w:rPr>
          <w:rStyle w:val="Rimandonotaapidipagina"/>
          <w:rFonts w:ascii="Times New Roman" w:hAnsi="Times New Roman" w:cs="Times New Roman"/>
          <w:color w:val="000000" w:themeColor="text1"/>
        </w:rPr>
        <w:footnoteReference w:id="50"/>
      </w:r>
      <w:r w:rsidRPr="00FD33A1">
        <w:rPr>
          <w:rFonts w:ascii="Times New Roman" w:hAnsi="Times New Roman" w:cs="Times New Roman"/>
          <w:color w:val="000000" w:themeColor="text1"/>
        </w:rPr>
        <w:t xml:space="preserve"> do not really care where one sits</w:t>
      </w:r>
      <w:r w:rsidR="00486CFA">
        <w:rPr>
          <w:rFonts w:ascii="Times New Roman" w:hAnsi="Times New Roman" w:cs="Times New Roman"/>
          <w:color w:val="000000" w:themeColor="text1"/>
        </w:rPr>
        <w:t>’.</w:t>
      </w:r>
      <w:r w:rsidR="00486CFA">
        <w:rPr>
          <w:rStyle w:val="Rimandonotaapidipagina"/>
          <w:rFonts w:ascii="Times New Roman" w:hAnsi="Times New Roman" w:cs="Times New Roman"/>
          <w:color w:val="000000" w:themeColor="text1"/>
        </w:rPr>
        <w:footnoteReference w:id="51"/>
      </w:r>
    </w:p>
    <w:p w14:paraId="6C60A12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52126A52" w14:textId="1D38C2B7" w:rsidR="00504C4D" w:rsidRPr="00FD33A1" w:rsidRDefault="009D79B3" w:rsidP="00CF2606">
      <w:pPr>
        <w:tabs>
          <w:tab w:val="left" w:pos="5103"/>
        </w:tabs>
        <w:spacing w:line="360" w:lineRule="auto"/>
        <w:rPr>
          <w:rFonts w:ascii="Times New Roman" w:hAnsi="Times New Roman" w:cs="Times New Roman"/>
          <w:b/>
          <w:color w:val="000000" w:themeColor="text1"/>
        </w:rPr>
      </w:pPr>
      <w:r w:rsidRPr="00FD33A1">
        <w:rPr>
          <w:rFonts w:ascii="Times New Roman" w:hAnsi="Times New Roman" w:cs="Times New Roman"/>
          <w:b/>
          <w:color w:val="000000" w:themeColor="text1"/>
        </w:rPr>
        <w:t>CONCLUSIONS</w:t>
      </w:r>
    </w:p>
    <w:p w14:paraId="2785A508" w14:textId="77777777" w:rsidR="00504C4D" w:rsidRPr="00FD33A1" w:rsidRDefault="00504C4D" w:rsidP="00CF2606">
      <w:pPr>
        <w:tabs>
          <w:tab w:val="left" w:pos="5103"/>
        </w:tabs>
        <w:spacing w:line="360" w:lineRule="auto"/>
        <w:rPr>
          <w:rFonts w:ascii="Times New Roman" w:hAnsi="Times New Roman" w:cs="Times New Roman"/>
          <w:b/>
          <w:color w:val="000000" w:themeColor="text1"/>
        </w:rPr>
      </w:pPr>
    </w:p>
    <w:p w14:paraId="4D18E432" w14:textId="33098946"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The central aim of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is not to suggest a radical restructuring of social power in rural India but to analyse the ongoing process of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politics of negotiation</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which is gradually redefining relationships between the lower and the upper castes and the (largely parallel) relationships between agricultural labourers and the landed elite. While the material basis of this relationship in terms of the redistribution of the means of production remains unchanged, there are marked changes in the ways in which everyday interactions and associated social norms are experienced. In line with </w:t>
      </w:r>
      <w:proofErr w:type="spellStart"/>
      <w:r w:rsidRPr="00FD33A1">
        <w:rPr>
          <w:rFonts w:ascii="Times New Roman" w:hAnsi="Times New Roman" w:cs="Times New Roman"/>
          <w:color w:val="000000" w:themeColor="text1"/>
        </w:rPr>
        <w:t>Ensminger</w:t>
      </w:r>
      <w:proofErr w:type="spellEnd"/>
      <w:r w:rsidRPr="00FD33A1">
        <w:rPr>
          <w:rFonts w:ascii="Times New Roman" w:hAnsi="Times New Roman" w:cs="Times New Roman"/>
          <w:color w:val="000000" w:themeColor="text1"/>
        </w:rPr>
        <w:t xml:space="preserve"> &amp; Knight (1997:14), we find bargaining to be the primary mechanism that influences the change in norms. In the process, social norms, especially caste norms, are being redefined and reformulated in a way that reflects to some extent the preferences of the weak, the Dalits. This is due to the fact that Dalit agricultural labourers have gradually come to realize that they have a (somewhat) stronger bargaining position vis-à-vis the </w:t>
      </w:r>
      <w:proofErr w:type="gramStart"/>
      <w:r w:rsidRPr="00FD33A1">
        <w:rPr>
          <w:rFonts w:ascii="Times New Roman" w:hAnsi="Times New Roman" w:cs="Times New Roman"/>
          <w:color w:val="000000" w:themeColor="text1"/>
        </w:rPr>
        <w:t>land owners</w:t>
      </w:r>
      <w:proofErr w:type="gramEnd"/>
      <w:r w:rsidRPr="00FD33A1">
        <w:rPr>
          <w:rFonts w:ascii="Times New Roman" w:hAnsi="Times New Roman" w:cs="Times New Roman"/>
          <w:color w:val="000000" w:themeColor="text1"/>
        </w:rPr>
        <w:t xml:space="preserve"> compared to their parents’ generation. And landowners have slowly – though reluctantly – come to the same understanding of the situation.</w:t>
      </w:r>
    </w:p>
    <w:p w14:paraId="4EF72628"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7A7FBE1F" w14:textId="0764B515"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This reluctance also means that these processes could be reversed, should the material conditions underpinning caste relations change in favour of large, upper caste landlords, though we think this is an unlikely possibility. First, given the enduring agricultural crises in India, it is unlikely that farming will become a much more profitable occupation any time soon, also considering that climate change is expected to have a severe impact on South Asia. Second, as pointed out, one of the factors contributing to the changes that we analyse is relative shortage of labour. This is also likely to continue, at present rates of rural-urban migration. While the Covid-19 pandemic has temporarily stopped migration to cities (and actually reversed it), this is most likely a temporary phenomenon. Third, once social norms change, they tend to get ‘institutionalised’ and therefore likely to persist for a while. Given that, for the two reasons just mentioned, it is unlikely that the power position of upper caste </w:t>
      </w:r>
      <w:r w:rsidRPr="00FD33A1">
        <w:rPr>
          <w:rFonts w:ascii="Times New Roman" w:hAnsi="Times New Roman" w:cs="Times New Roman"/>
          <w:color w:val="000000" w:themeColor="text1"/>
        </w:rPr>
        <w:lastRenderedPageBreak/>
        <w:t xml:space="preserve">landlords will significantly improve in the medium term, we think that the process of change described in this </w:t>
      </w:r>
      <w:r w:rsidR="009D79B3" w:rsidRPr="00FD33A1">
        <w:rPr>
          <w:rFonts w:ascii="Times New Roman" w:hAnsi="Times New Roman" w:cs="Times New Roman"/>
          <w:color w:val="000000" w:themeColor="text1"/>
        </w:rPr>
        <w:t>article</w:t>
      </w:r>
      <w:r w:rsidRPr="00FD33A1">
        <w:rPr>
          <w:rFonts w:ascii="Times New Roman" w:hAnsi="Times New Roman" w:cs="Times New Roman"/>
          <w:color w:val="000000" w:themeColor="text1"/>
        </w:rPr>
        <w:t xml:space="preserve"> is not likely to be reversed. However, this remains a possibility, especially if large farmers, perhaps using resources accumulated from other sectors of the economy, will invest in mechanisation to reduce their dependency on labour. This was not a visible process in our fieldwork location, but it certainly is in other parts of the country.</w:t>
      </w:r>
    </w:p>
    <w:p w14:paraId="11AD9331"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4AF46FE1" w14:textId="70201A40"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As we have pointed out, the processes that we analyse are localised and parts of (especially) North India are much less affected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{"citationItems":[{"id":"ITEM-1","itemData":{"DOI":"10.1111/dech.12311","ISSN":"0012155X","author":[{"dropping-particle":"","family":"Borooah","given":"Vani Kant","non-dropping-particle":"","parse-names":false,"suffix":""}],"container-title":"Development and Change","id":"ITEM-1","issue":"4","issued":{"date-parts":[["2017","7","1"]]},"page":"746-774","title":"Caste and Regional Influences on the Practice of ‘Untouchability’ in India","type":"article-journal","volume":"48"},"uris":["http://www.mendeley.com/documents/?uuid=c5ded6f8-cdb6-3813-aaa4-053a6767eaac"]}],"mendeley":{"formattedCitation":"(Borooah, 2017)","plainTextFormattedCitation":"(Borooah, 2017)","previouslyFormattedCitation":"(Borooah, 2017)"},"properties":{"noteIndex":0},"schema":"https://github.com/citation-style-language/schema/raw/master/csl-citation.json"}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(Borooah, 2017)</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In numerous cases, as a number of scholars have noted, these processes have triggered violent reactions by the landed elites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8132101995","author":[{"dropping-particle":"","family":"Gorringe","given":"Hugo","non-dropping-particle":"","parse-names":false,"suffix":""}],"id":"ITEM-1","issued":{"date-parts":[["2005"]]},"publisher":"SAGE","publisher-place":"New Delhi","title":"Untouchable citizens: Dalit movements and democratization in Tamil Nadu","type":"book"},"uris":["http://www.mendeley.com/documents/?uuid=7130e500-2a09-45af-9b3d-ac3f23790490"]},{"id":"ITEM-2","itemData":{"ISBN":"0521556716","abstract":"In a sensitive and compelling account of the lives of those at the very bottom of Indian society, Oliver Mendelsohn and Marika Vicziany explore the construction of the Untouchables as a social and political category, the historical background which led to such a definition, and their position in India today. The authors argue that, despite efforts to ameliorate their condition on the part of the state, a considerable edifice of discrimination persists on the basis of a tradition of ritual subordination. Even now, therefore, it still makes sense to categorise these people as 'Untouchables'. The book promises to make a major contribution to the social and economic debates on poverty, while its wide-ranging perspectives will ensure an interdisciplinary readership from historians of South Asia, to students of politics, economics, religion and sociology.","author":[{"dropping-particle":"","family":"Mendelsohn","given":"Oliver","non-dropping-particle":"","parse-names":false,"suffix":""},{"dropping-particle":"","family":"Vicziany","given":"Marika","non-dropping-particle":"","parse-names":false,"suffix":""}],"id":"ITEM-2","issued":{"date-parts":[["1998"]]},"publisher":"Cambridge University Press","publisher-place":"Cambridge","title":"The Untouchables: Subordination, Poverty and the State in Modern India","type":"book"},"uris":["http://www.mendeley.com/documents/?uuid=0bf0f92a-cd1f-49ad-a5ed-77e41e3eb555"]}],"mendeley":{"formattedCitation":"(Gorringe, 2005; Mendelsohn &amp; Vicziany, 1998)","plainTextFormattedCitation":"(Gorringe, 2005; Mendelsohn &amp; Vicziany, 1998)","previouslyFormattedCitation":"(Gorringe, 2005; Mendelsohn &amp; Vicziany, 1998)"},"properties":{"noteIndex":0},"schema":"https://github.com/citation-style-language/schema/raw/master/csl-citation.json"}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(Gorringe, 2005; Mendelsohn &amp; Vicziany, 1998)</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or, even when they do result in an appreciable change in the living conditions of the Dalits, they do not fundamentally alter the oppressive nature of class relations (</w:t>
      </w:r>
      <w:proofErr w:type="spellStart"/>
      <w:r w:rsidRPr="00FD33A1">
        <w:rPr>
          <w:rFonts w:ascii="Times New Roman" w:hAnsi="Times New Roman" w:cs="Times New Roman"/>
          <w:color w:val="000000" w:themeColor="text1"/>
        </w:rPr>
        <w:t>Heyer</w:t>
      </w:r>
      <w:proofErr w:type="spellEnd"/>
      <w:r w:rsidRPr="00FD33A1">
        <w:rPr>
          <w:rFonts w:ascii="Times New Roman" w:hAnsi="Times New Roman" w:cs="Times New Roman"/>
          <w:color w:val="000000" w:themeColor="text1"/>
        </w:rPr>
        <w:t xml:space="preserve"> 201</w:t>
      </w:r>
      <w:r w:rsidR="00EF7768" w:rsidRPr="00FD33A1">
        <w:rPr>
          <w:rFonts w:ascii="Times New Roman" w:hAnsi="Times New Roman" w:cs="Times New Roman"/>
          <w:color w:val="000000" w:themeColor="text1"/>
        </w:rPr>
        <w:t>2</w:t>
      </w:r>
      <w:r w:rsidRPr="00FD33A1">
        <w:rPr>
          <w:rFonts w:ascii="Times New Roman" w:hAnsi="Times New Roman" w:cs="Times New Roman"/>
          <w:color w:val="000000" w:themeColor="text1"/>
        </w:rPr>
        <w:t>). In other cases, the upper castes, through their social, cultural and economic capital are able to expand or reconfigure their dominance in other ways (</w:t>
      </w:r>
      <w:proofErr w:type="spellStart"/>
      <w:r w:rsidRPr="00FD33A1">
        <w:rPr>
          <w:rFonts w:ascii="Times New Roman" w:hAnsi="Times New Roman" w:cs="Times New Roman"/>
          <w:color w:val="000000" w:themeColor="text1"/>
        </w:rPr>
        <w:t>Harriss</w:t>
      </w:r>
      <w:proofErr w:type="spellEnd"/>
      <w:r w:rsidRPr="00FD33A1">
        <w:rPr>
          <w:rFonts w:ascii="Times New Roman" w:hAnsi="Times New Roman" w:cs="Times New Roman"/>
          <w:color w:val="000000" w:themeColor="text1"/>
        </w:rPr>
        <w:t xml:space="preserve"> 2012) which results in new forms of oppression and domination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{"citationItems":[{"id":"ITEM-1","itemData":{"ISBN":"071908914X","author":[{"dropping-particle":"","family":"Pattenden","given":"Jonathan","non-dropping-particle":"","parse-names":false,"suffix":""}],"id":"ITEM-1","issued":{"date-parts":[["2016"]]},"publisher":"Manchester University Press","publisher-place":"Manchester","title":"Labour, state and society in rural India: A class-relational approach","type":"book"},"label":"chapter","uris":["http://www.mendeley.com/documents/?uuid=80f7844a-02e4-4a30-9c90-5a10defb66ef"]},{"id":"ITEM-2","itemData":{"ISBN":"9780199468157","abstract":"Specialized. First edition. This edition previously issued in print: 2017. In this ethnographic account of Dalit politics in Tamil Nadu, the author discusses how caste considerations inform and underpin politics in the state. With its micro-empirical focus on the journey of Viduthalai Chiruthaigal Katchi (Liberation Panthers Party) in Tamil Nadu, it also explores diverse dimensions of mobilisation and ways in which contentious politics alters political regimes.","author":[{"dropping-particle":"","family":"Gorringe","given":"Hugo","non-dropping-particle":"","parse-names":false,"suffix":""}],"id":"ITEM-2","issued":{"date-parts":[["2017"]]},"publisher":"Oxford University Press","publisher-place":"New Delhi","title":"Panthers in parliament : Dalits, caste, and political power in South India","type":"book"},"label":"chapter","locator":"2","uris":["http://www.mendeley.com/documents/?uuid=3ecec1d1-49f1-3be3-92db-d718573a1cfa"]}],"mendeley":{"formattedCitation":"(Gorringe, 2017, Chapter 2; Pattenden, 2016)","plainTextFormattedCitation":"(Gorringe, 2017, Chapter 2; Pattenden, 2016)","previouslyFormattedCitation":"(Gorringe, 2017, Chapter 2; Pattenden, 2016)"},"properties":{"noteIndex":0},"schema":"https://github.com/citation-style-language/schema/raw/master/csl-citation.json"}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(Gorringe, 2017, Chapter 2; Pattenden, 2016)</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Furthermore, these processes might also result in reduced social obligations by the landlords to ‘provide’ for their workers in times of need – through loans, gifts, food etc. However, violent retaliation or social boycott is not the sole inevitable reaction to Dalit assertiveness and willingness to engage in negotiations. Indeed, where this </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politics of negotiation</w:t>
      </w:r>
      <w:r w:rsidR="009D79B3" w:rsidRPr="00FD33A1">
        <w:rPr>
          <w:rFonts w:ascii="Times New Roman" w:hAnsi="Times New Roman" w:cs="Times New Roman"/>
          <w:color w:val="000000" w:themeColor="text1"/>
        </w:rPr>
        <w:t>’</w:t>
      </w:r>
      <w:r w:rsidRPr="00FD33A1">
        <w:rPr>
          <w:rFonts w:ascii="Times New Roman" w:hAnsi="Times New Roman" w:cs="Times New Roman"/>
          <w:color w:val="000000" w:themeColor="text1"/>
        </w:rPr>
        <w:t xml:space="preserve"> exists, we find that the poor in many cases are managing to leave a role of a ‘client’ completely dependent on a ‘patron’. Nonetheless, we do not suggest that these relationships have become equal nor do we propose that the rural poor are fighting the unequal economic and political conditions as united and class-conscious actors. The negotiations are often done on an individual </w:t>
      </w:r>
      <w:proofErr w:type="gramStart"/>
      <w:r w:rsidRPr="00FD33A1">
        <w:rPr>
          <w:rFonts w:ascii="Times New Roman" w:hAnsi="Times New Roman" w:cs="Times New Roman"/>
          <w:color w:val="000000" w:themeColor="text1"/>
        </w:rPr>
        <w:t>basis</w:t>
      </w:r>
      <w:proofErr w:type="gramEnd"/>
      <w:r w:rsidRPr="00FD33A1">
        <w:rPr>
          <w:rFonts w:ascii="Times New Roman" w:hAnsi="Times New Roman" w:cs="Times New Roman"/>
          <w:color w:val="000000" w:themeColor="text1"/>
        </w:rPr>
        <w:t xml:space="preserve"> but which inevitably creates spaces for the poor and socially excluded to assert, negotiate and to some extent attain a political voice.</w:t>
      </w:r>
    </w:p>
    <w:p w14:paraId="1E74E39B" w14:textId="77777777" w:rsidR="00504C4D" w:rsidRPr="00FD33A1" w:rsidRDefault="00504C4D" w:rsidP="00CF2606">
      <w:pPr>
        <w:tabs>
          <w:tab w:val="left" w:pos="5103"/>
        </w:tabs>
        <w:spacing w:line="360" w:lineRule="auto"/>
        <w:rPr>
          <w:rFonts w:ascii="Times New Roman" w:hAnsi="Times New Roman" w:cs="Times New Roman"/>
          <w:color w:val="000000" w:themeColor="text1"/>
        </w:rPr>
      </w:pPr>
    </w:p>
    <w:p w14:paraId="054C751F" w14:textId="3092938C" w:rsidR="00504C4D" w:rsidRPr="00FD33A1" w:rsidRDefault="00504C4D" w:rsidP="00CF2606">
      <w:pPr>
        <w:tabs>
          <w:tab w:val="left" w:pos="5103"/>
        </w:tabs>
        <w:spacing w:line="360" w:lineRule="auto"/>
        <w:rPr>
          <w:rFonts w:ascii="Times New Roman" w:hAnsi="Times New Roman" w:cs="Times New Roman"/>
          <w:color w:val="000000" w:themeColor="text1"/>
        </w:rPr>
      </w:pPr>
      <w:r w:rsidRPr="00FD33A1">
        <w:rPr>
          <w:rFonts w:ascii="Times New Roman" w:hAnsi="Times New Roman" w:cs="Times New Roman"/>
          <w:color w:val="000000" w:themeColor="text1"/>
        </w:rPr>
        <w:t xml:space="preserve">However, the importance of these small and gradual changes should not be underestimated for two reasons. First, as </w:t>
      </w:r>
      <w:proofErr w:type="spellStart"/>
      <w:r w:rsidRPr="00FD33A1">
        <w:rPr>
          <w:rFonts w:ascii="Times New Roman" w:hAnsi="Times New Roman" w:cs="Times New Roman"/>
          <w:color w:val="000000" w:themeColor="text1"/>
        </w:rPr>
        <w:t>Mosse</w:t>
      </w:r>
      <w:proofErr w:type="spellEnd"/>
      <w:r w:rsidRPr="00FD33A1">
        <w:rPr>
          <w:rFonts w:ascii="Times New Roman" w:hAnsi="Times New Roman" w:cs="Times New Roman"/>
          <w:color w:val="000000" w:themeColor="text1"/>
        </w:rPr>
        <w:t xml:space="preserve"> argues, Dalit ‘identity is itself principally defined by dependence and service’</w:t>
      </w:r>
      <w:r w:rsidR="00EF7768" w:rsidRPr="00FD33A1">
        <w:rPr>
          <w:rFonts w:ascii="Times New Roman" w:hAnsi="Times New Roman" w:cs="Times New Roman"/>
          <w:color w:val="000000" w:themeColor="text1"/>
        </w:rPr>
        <w:t xml:space="preserve"> </w:t>
      </w:r>
      <w:r w:rsidR="00EF7768" w:rsidRPr="00FD33A1">
        <w:rPr>
          <w:rFonts w:ascii="Times New Roman" w:hAnsi="Times New Roman" w:cs="Times New Roman"/>
          <w:color w:val="000000" w:themeColor="text1"/>
        </w:rPr>
        <w:fldChar w:fldCharType="begin" w:fldLock="1"/>
      </w:r>
      <w:r w:rsidR="00580C4B" w:rsidRPr="00FD33A1">
        <w:rPr>
          <w:rFonts w:ascii="Times New Roman" w:hAnsi="Times New Roman" w:cs="Times New Roman"/>
          <w:color w:val="000000" w:themeColor="text1"/>
        </w:rPr>
        <w:instrText>ADDIN CSL_CITATION {"citationItems":[{"id":"ITEM-1","itemData":{"ISSN":"0069-9667","author":[{"dropping-particle":"","family":"Mosse","given":"David","non-dropping-particle":"","parse-names":false,"suffix":""}],"container-title":"Contributions to Indian sociology","id":"ITEM-1","issue":"1","issued":{"date-parts":[["1994"]]},"page":"67-106","publisher":"Sage Publications","title":"Idioms of subordination and styles of protest among Christian and Hindu Harijan castes in Tamil Nadu","type":"article-journal","volume":"28"},"locator":"73","uris":["http://www.mendeley.com/documents/?uuid=fbcbfabf-3691-4647-9443-37161b30cd12"]}],"mendeley":{"formattedCitation":"(Mosse, 1994, p. 73)","plainTextFormattedCitation":"(Mosse, 1994, p. 73)","previouslyFormattedCitation":"(Mosse, 1994, p. 73)"},"properties":{"noteIndex":0},"schema":"https://github.com/citation-style-language/schema/raw/master/csl-citation.json"}</w:instrText>
      </w:r>
      <w:r w:rsidR="00EF7768" w:rsidRPr="00FD33A1">
        <w:rPr>
          <w:rFonts w:ascii="Times New Roman" w:hAnsi="Times New Roman" w:cs="Times New Roman"/>
          <w:color w:val="000000" w:themeColor="text1"/>
        </w:rPr>
        <w:fldChar w:fldCharType="separate"/>
      </w:r>
      <w:r w:rsidR="00EF7768" w:rsidRPr="00FD33A1">
        <w:rPr>
          <w:rFonts w:ascii="Times New Roman" w:hAnsi="Times New Roman" w:cs="Times New Roman"/>
          <w:noProof/>
          <w:color w:val="000000" w:themeColor="text1"/>
        </w:rPr>
        <w:t>(Mosse, 1994, p. 73)</w:t>
      </w:r>
      <w:r w:rsidR="00EF7768"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Therefore, even minimal concessions by the landed elites or minimal resistance by the Dalits, that erode their dependency ‘erodes the bases of the caste hierarchy’  </w:t>
      </w: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ADDIN CSL_CITATION {"citationItems":[{"id":"ITEM-1","itemData":{"author":[{"dropping-particle":"","family":"Gorringe","given":"Hugo","non-dropping-particle":"","parse-names":false,"suffix":""}],"container-title":"The Comparative Political Economy of Development: Africa and South Asia","editor":[{"dropping-particle":"","family":"Harriss-White","given":"Barbara","non-dropping-particle":"","parse-names":false,"suffix":""},{"dropping-particle":"","family":"Heyer","given":"Judith","non-dropping-particle":"","parse-names":false,"suffix":""}],"id":"ITEM-1","issued":{"date-parts":[["2010"]]},"page":"248-266","publisher":"Routledge","publisher-place":"Oxon","title":"Shifting the “Grindstone of Caste”? Decreasing Dependency among Dalit Labourers in Tamil Nadu","type":"chapter"},"locator":"252","uris":["http://www.mendeley.com/documents/?uuid=a36bd6f3-7761-4cb5-8ead-fb04c50cebc7"]}],"mendeley":{"formattedCitation":"(Gorringe, 2010, p. 252)","plainTextFormattedCitation":"(Gorringe, 2010, p. 252)","previouslyFormattedCitation":"(Gorringe, 2010, p. 252)"},"properties":{"noteIndex":0},"schema":"https://github.com/citation-style-language/schema/raw/master/csl-citation.json"}</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color w:val="000000" w:themeColor="text1"/>
        </w:rPr>
        <w:t>(Gorringe, 2010, p. 252)</w:t>
      </w:r>
      <w:r w:rsidRPr="00FD33A1">
        <w:rPr>
          <w:rFonts w:ascii="Times New Roman" w:hAnsi="Times New Roman" w:cs="Times New Roman"/>
          <w:color w:val="000000" w:themeColor="text1"/>
        </w:rPr>
        <w:fldChar w:fldCharType="end"/>
      </w:r>
      <w:r w:rsidRPr="00FD33A1">
        <w:rPr>
          <w:rFonts w:ascii="Times New Roman" w:hAnsi="Times New Roman" w:cs="Times New Roman"/>
          <w:color w:val="000000" w:themeColor="text1"/>
        </w:rPr>
        <w:t xml:space="preserve"> and triggers positive social change. Second, the everyday actions of the poor and of the rich that constitute the continuing process of negotiation are often not intended to be political acts. However, they become political in their effects, as they form ‘a social nonmovement’ that brings about significant social change (</w:t>
      </w:r>
      <w:proofErr w:type="spellStart"/>
      <w:r w:rsidRPr="00FD33A1">
        <w:rPr>
          <w:rFonts w:ascii="Times New Roman" w:hAnsi="Times New Roman" w:cs="Times New Roman"/>
          <w:color w:val="000000" w:themeColor="text1"/>
        </w:rPr>
        <w:t>Bayat</w:t>
      </w:r>
      <w:proofErr w:type="spellEnd"/>
      <w:r w:rsidRPr="00FD33A1">
        <w:rPr>
          <w:rFonts w:ascii="Times New Roman" w:hAnsi="Times New Roman" w:cs="Times New Roman"/>
          <w:color w:val="000000" w:themeColor="text1"/>
        </w:rPr>
        <w:t xml:space="preserve"> 2013). The changing patterns of wedding arrangements, labour conditions, seating </w:t>
      </w:r>
      <w:r w:rsidRPr="00FD33A1">
        <w:rPr>
          <w:rFonts w:ascii="Times New Roman" w:hAnsi="Times New Roman" w:cs="Times New Roman"/>
          <w:color w:val="000000" w:themeColor="text1"/>
        </w:rPr>
        <w:lastRenderedPageBreak/>
        <w:t>arrangements and access to village tea stalls in an undefinable but high number of villages across India is indeed (slowly) transforming rural society as a whole. It is in fact significant that the changes that we describe occur in both types of villages that we visited – those with better initial conditions (which, in our expectations, should have facilitated these processes in a more pronounced way) and those where initial conditions were worse. More important than improving levels of human development, it seems that the crucial trigger for the changes that we analyse, is a combination of shortage of labour and (relatively) effective social protection policies that help to reduce the Dalits’ dependency on dominant caste farmers – both conditions being much more prominent in AP than in UP. This might explain why the processes of negotiations that are contributing to change caste relations are much more visible in the former case (although not completely absent in the latter). These processes are, to conclude, self-reinforcing and could be the harbinger of larger transformations, yet to come.</w:t>
      </w:r>
    </w:p>
    <w:p w14:paraId="6135E87F" w14:textId="2A7F9601" w:rsidR="00234EC5" w:rsidRDefault="00234EC5">
      <w:pPr>
        <w:rPr>
          <w:rFonts w:ascii="Times New Roman" w:hAnsi="Times New Roman" w:cs="Times New Roman"/>
          <w:color w:val="000000" w:themeColor="text1"/>
        </w:rPr>
      </w:pPr>
      <w:r>
        <w:rPr>
          <w:rFonts w:ascii="Times New Roman" w:hAnsi="Times New Roman" w:cs="Times New Roman"/>
          <w:color w:val="000000" w:themeColor="text1"/>
        </w:rPr>
        <w:br w:type="page"/>
      </w:r>
    </w:p>
    <w:p w14:paraId="01A66A4A" w14:textId="502EB26B" w:rsidR="009938F7" w:rsidRPr="00FD33A1" w:rsidRDefault="00234EC5" w:rsidP="00CF2606">
      <w:pPr>
        <w:spacing w:line="360" w:lineRule="auto"/>
        <w:rPr>
          <w:rFonts w:ascii="Times New Roman" w:hAnsi="Times New Roman" w:cs="Times New Roman"/>
          <w:b/>
          <w:bCs/>
          <w:color w:val="000000" w:themeColor="text1"/>
        </w:rPr>
      </w:pPr>
      <w:r>
        <w:rPr>
          <w:rFonts w:ascii="Times New Roman" w:hAnsi="Times New Roman" w:cs="Times New Roman"/>
          <w:b/>
          <w:bCs/>
          <w:color w:val="000000" w:themeColor="text1"/>
        </w:rPr>
        <w:lastRenderedPageBreak/>
        <w:t>References</w:t>
      </w:r>
    </w:p>
    <w:p w14:paraId="56ED0E6F" w14:textId="77777777" w:rsidR="009938F7" w:rsidRPr="00FD33A1" w:rsidRDefault="009938F7" w:rsidP="00CF2606">
      <w:pPr>
        <w:spacing w:line="360" w:lineRule="auto"/>
        <w:rPr>
          <w:rFonts w:ascii="Times New Roman" w:hAnsi="Times New Roman" w:cs="Times New Roman"/>
          <w:color w:val="000000" w:themeColor="text1"/>
        </w:rPr>
      </w:pPr>
    </w:p>
    <w:p w14:paraId="08115A0B" w14:textId="0DF8D62D"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color w:val="000000" w:themeColor="text1"/>
        </w:rPr>
        <w:fldChar w:fldCharType="begin" w:fldLock="1"/>
      </w:r>
      <w:r w:rsidRPr="00FD33A1">
        <w:rPr>
          <w:rFonts w:ascii="Times New Roman" w:hAnsi="Times New Roman" w:cs="Times New Roman"/>
          <w:color w:val="000000" w:themeColor="text1"/>
        </w:rPr>
        <w:instrText xml:space="preserve">ADDIN Mendeley Bibliography CSL_BIBLIOGRAPHY </w:instrText>
      </w:r>
      <w:r w:rsidRPr="00FD33A1">
        <w:rPr>
          <w:rFonts w:ascii="Times New Roman" w:hAnsi="Times New Roman" w:cs="Times New Roman"/>
          <w:color w:val="000000" w:themeColor="text1"/>
        </w:rPr>
        <w:fldChar w:fldCharType="separate"/>
      </w:r>
      <w:r w:rsidRPr="00FD33A1">
        <w:rPr>
          <w:rFonts w:ascii="Times New Roman" w:hAnsi="Times New Roman" w:cs="Times New Roman"/>
          <w:noProof/>
        </w:rPr>
        <w:t xml:space="preserve">Bayat, A. (2013). </w:t>
      </w:r>
      <w:r w:rsidRPr="00FD33A1">
        <w:rPr>
          <w:rFonts w:ascii="Times New Roman" w:hAnsi="Times New Roman" w:cs="Times New Roman"/>
          <w:i/>
          <w:iCs/>
          <w:noProof/>
        </w:rPr>
        <w:t>Life as politics: How ordinary people change the Middle East</w:t>
      </w:r>
      <w:r w:rsidRPr="00FD33A1">
        <w:rPr>
          <w:rFonts w:ascii="Times New Roman" w:hAnsi="Times New Roman" w:cs="Times New Roman"/>
          <w:noProof/>
        </w:rPr>
        <w:t>. Stanford University Press.</w:t>
      </w:r>
    </w:p>
    <w:p w14:paraId="1CB80B6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Bayly, S. (2001). </w:t>
      </w:r>
      <w:r w:rsidRPr="00FD33A1">
        <w:rPr>
          <w:rFonts w:ascii="Times New Roman" w:hAnsi="Times New Roman" w:cs="Times New Roman"/>
          <w:i/>
          <w:iCs/>
          <w:noProof/>
        </w:rPr>
        <w:t>Caste, society and politics in India from the eighteenth century to the modern age</w:t>
      </w:r>
      <w:r w:rsidRPr="00FD33A1">
        <w:rPr>
          <w:rFonts w:ascii="Times New Roman" w:hAnsi="Times New Roman" w:cs="Times New Roman"/>
          <w:noProof/>
        </w:rPr>
        <w:t xml:space="preserve"> (Vol. 3). Cambridge University Press.</w:t>
      </w:r>
    </w:p>
    <w:p w14:paraId="5B9A12C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Bernstein, H. (2010). </w:t>
      </w:r>
      <w:r w:rsidRPr="00FD33A1">
        <w:rPr>
          <w:rFonts w:ascii="Times New Roman" w:hAnsi="Times New Roman" w:cs="Times New Roman"/>
          <w:i/>
          <w:iCs/>
          <w:noProof/>
        </w:rPr>
        <w:t>Class dynamics of agrarian change</w:t>
      </w:r>
      <w:r w:rsidRPr="00FD33A1">
        <w:rPr>
          <w:rFonts w:ascii="Times New Roman" w:hAnsi="Times New Roman" w:cs="Times New Roman"/>
          <w:noProof/>
        </w:rPr>
        <w:t xml:space="preserve"> (Vol. 1). Kumarian Press.</w:t>
      </w:r>
    </w:p>
    <w:p w14:paraId="40CE79F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Beteille, A. (2007). Classes and communities. </w:t>
      </w:r>
      <w:r w:rsidRPr="00FD33A1">
        <w:rPr>
          <w:rFonts w:ascii="Times New Roman" w:hAnsi="Times New Roman" w:cs="Times New Roman"/>
          <w:i/>
          <w:iCs/>
          <w:noProof/>
        </w:rPr>
        <w:t>Economic and Political Weekly</w:t>
      </w:r>
      <w:r w:rsidRPr="00FD33A1">
        <w:rPr>
          <w:rFonts w:ascii="Times New Roman" w:hAnsi="Times New Roman" w:cs="Times New Roman"/>
          <w:noProof/>
        </w:rPr>
        <w:t>.</w:t>
      </w:r>
    </w:p>
    <w:p w14:paraId="4C2AACC3"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Bicchieri, C. (2006). </w:t>
      </w:r>
      <w:r w:rsidRPr="00FD33A1">
        <w:rPr>
          <w:rFonts w:ascii="Times New Roman" w:hAnsi="Times New Roman" w:cs="Times New Roman"/>
          <w:i/>
          <w:iCs/>
          <w:noProof/>
        </w:rPr>
        <w:t>The Grammar of Society: The Nature and Dynamics of Social Norms</w:t>
      </w:r>
      <w:r w:rsidRPr="00FD33A1">
        <w:rPr>
          <w:rFonts w:ascii="Times New Roman" w:hAnsi="Times New Roman" w:cs="Times New Roman"/>
          <w:noProof/>
        </w:rPr>
        <w:t>. Cambridge: Cambridge University Press.</w:t>
      </w:r>
    </w:p>
    <w:p w14:paraId="1C32841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Borooah, V. K. (2017). Caste and Regional Influences on the Practice of ‘Untouchability’ in India. </w:t>
      </w:r>
      <w:r w:rsidRPr="00FD33A1">
        <w:rPr>
          <w:rFonts w:ascii="Times New Roman" w:hAnsi="Times New Roman" w:cs="Times New Roman"/>
          <w:i/>
          <w:iCs/>
          <w:noProof/>
        </w:rPr>
        <w:t>Development and Change</w:t>
      </w:r>
      <w:r w:rsidRPr="00FD33A1">
        <w:rPr>
          <w:rFonts w:ascii="Times New Roman" w:hAnsi="Times New Roman" w:cs="Times New Roman"/>
          <w:noProof/>
        </w:rPr>
        <w:t xml:space="preserve">, </w:t>
      </w:r>
      <w:r w:rsidRPr="00FD33A1">
        <w:rPr>
          <w:rFonts w:ascii="Times New Roman" w:hAnsi="Times New Roman" w:cs="Times New Roman"/>
          <w:i/>
          <w:iCs/>
          <w:noProof/>
        </w:rPr>
        <w:t>48</w:t>
      </w:r>
      <w:r w:rsidRPr="00FD33A1">
        <w:rPr>
          <w:rFonts w:ascii="Times New Roman" w:hAnsi="Times New Roman" w:cs="Times New Roman"/>
          <w:noProof/>
        </w:rPr>
        <w:t>(4), 746–774.</w:t>
      </w:r>
    </w:p>
    <w:p w14:paraId="59032D1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Breman, J. (1993). </w:t>
      </w:r>
      <w:r w:rsidRPr="00FD33A1">
        <w:rPr>
          <w:rFonts w:ascii="Times New Roman" w:hAnsi="Times New Roman" w:cs="Times New Roman"/>
          <w:i/>
          <w:iCs/>
          <w:noProof/>
        </w:rPr>
        <w:t>Beyond patronage and exploitation: changing agrarian relations in South Gujarat.</w:t>
      </w:r>
      <w:r w:rsidRPr="00FD33A1">
        <w:rPr>
          <w:rFonts w:ascii="Times New Roman" w:hAnsi="Times New Roman" w:cs="Times New Roman"/>
          <w:noProof/>
        </w:rPr>
        <w:t xml:space="preserve"> New Delhi: Oxford University Press.</w:t>
      </w:r>
    </w:p>
    <w:p w14:paraId="69E6B6E8"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Breman, J. (2007). </w:t>
      </w:r>
      <w:r w:rsidRPr="00FD33A1">
        <w:rPr>
          <w:rFonts w:ascii="Times New Roman" w:hAnsi="Times New Roman" w:cs="Times New Roman"/>
          <w:i/>
          <w:iCs/>
          <w:noProof/>
        </w:rPr>
        <w:t>Labour Bondage in West India from Past to Present</w:t>
      </w:r>
      <w:r w:rsidRPr="00FD33A1">
        <w:rPr>
          <w:rFonts w:ascii="Times New Roman" w:hAnsi="Times New Roman" w:cs="Times New Roman"/>
          <w:noProof/>
        </w:rPr>
        <w:t>. New Delhi: Oxford University Press.</w:t>
      </w:r>
    </w:p>
    <w:p w14:paraId="5303C868"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Carswell, G., &amp; De Neve, G. (2014). MGNREGA in Tamil Nadu: A Story of Success and Transformation? </w:t>
      </w:r>
      <w:r w:rsidRPr="00FD33A1">
        <w:rPr>
          <w:rFonts w:ascii="Times New Roman" w:hAnsi="Times New Roman" w:cs="Times New Roman"/>
          <w:i/>
          <w:iCs/>
          <w:noProof/>
        </w:rPr>
        <w:t>Journal of Agrarian Change</w:t>
      </w:r>
      <w:r w:rsidRPr="00FD33A1">
        <w:rPr>
          <w:rFonts w:ascii="Times New Roman" w:hAnsi="Times New Roman" w:cs="Times New Roman"/>
          <w:noProof/>
        </w:rPr>
        <w:t xml:space="preserve">, </w:t>
      </w:r>
      <w:r w:rsidRPr="00FD33A1">
        <w:rPr>
          <w:rFonts w:ascii="Times New Roman" w:hAnsi="Times New Roman" w:cs="Times New Roman"/>
          <w:i/>
          <w:iCs/>
          <w:noProof/>
        </w:rPr>
        <w:t>14</w:t>
      </w:r>
      <w:r w:rsidRPr="00FD33A1">
        <w:rPr>
          <w:rFonts w:ascii="Times New Roman" w:hAnsi="Times New Roman" w:cs="Times New Roman"/>
          <w:noProof/>
        </w:rPr>
        <w:t>(4), 564–85.</w:t>
      </w:r>
    </w:p>
    <w:p w14:paraId="532C2DB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Carswell, G., &amp; De Neve, G. (2015). Litigation against Political Organization? The Politics of Dalit Mobilization in Tamil Nadu, India. </w:t>
      </w:r>
      <w:r w:rsidRPr="00FD33A1">
        <w:rPr>
          <w:rFonts w:ascii="Times New Roman" w:hAnsi="Times New Roman" w:cs="Times New Roman"/>
          <w:i/>
          <w:iCs/>
          <w:noProof/>
        </w:rPr>
        <w:t>Development and Change</w:t>
      </w:r>
      <w:r w:rsidRPr="00FD33A1">
        <w:rPr>
          <w:rFonts w:ascii="Times New Roman" w:hAnsi="Times New Roman" w:cs="Times New Roman"/>
          <w:noProof/>
        </w:rPr>
        <w:t xml:space="preserve">, </w:t>
      </w:r>
      <w:r w:rsidRPr="00FD33A1">
        <w:rPr>
          <w:rFonts w:ascii="Times New Roman" w:hAnsi="Times New Roman" w:cs="Times New Roman"/>
          <w:i/>
          <w:iCs/>
          <w:noProof/>
        </w:rPr>
        <w:t>46</w:t>
      </w:r>
      <w:r w:rsidRPr="00FD33A1">
        <w:rPr>
          <w:rFonts w:ascii="Times New Roman" w:hAnsi="Times New Roman" w:cs="Times New Roman"/>
          <w:noProof/>
        </w:rPr>
        <w:t>(5), 1106–1132.</w:t>
      </w:r>
    </w:p>
    <w:p w14:paraId="60E2FA48"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Chandra, U. (2015). Rethinking Subaltern Resistance. </w:t>
      </w:r>
      <w:r w:rsidRPr="00FD33A1">
        <w:rPr>
          <w:rFonts w:ascii="Times New Roman" w:hAnsi="Times New Roman" w:cs="Times New Roman"/>
          <w:i/>
          <w:iCs/>
          <w:noProof/>
        </w:rPr>
        <w:t>Journal of Contemporary Asia</w:t>
      </w:r>
      <w:r w:rsidRPr="00FD33A1">
        <w:rPr>
          <w:rFonts w:ascii="Times New Roman" w:hAnsi="Times New Roman" w:cs="Times New Roman"/>
          <w:noProof/>
        </w:rPr>
        <w:t xml:space="preserve">, </w:t>
      </w:r>
      <w:r w:rsidRPr="00FD33A1">
        <w:rPr>
          <w:rFonts w:ascii="Times New Roman" w:hAnsi="Times New Roman" w:cs="Times New Roman"/>
          <w:i/>
          <w:iCs/>
          <w:noProof/>
        </w:rPr>
        <w:t>45</w:t>
      </w:r>
      <w:r w:rsidRPr="00FD33A1">
        <w:rPr>
          <w:rFonts w:ascii="Times New Roman" w:hAnsi="Times New Roman" w:cs="Times New Roman"/>
          <w:noProof/>
        </w:rPr>
        <w:t>(4), 563–573.</w:t>
      </w:r>
    </w:p>
    <w:p w14:paraId="7EA88175"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Chatterjee, P. (1983). Peasants, politics and historiography: a response. </w:t>
      </w:r>
      <w:r w:rsidRPr="00FD33A1">
        <w:rPr>
          <w:rFonts w:ascii="Times New Roman" w:hAnsi="Times New Roman" w:cs="Times New Roman"/>
          <w:i/>
          <w:iCs/>
          <w:noProof/>
        </w:rPr>
        <w:t>Social Scientist</w:t>
      </w:r>
      <w:r w:rsidRPr="00FD33A1">
        <w:rPr>
          <w:rFonts w:ascii="Times New Roman" w:hAnsi="Times New Roman" w:cs="Times New Roman"/>
          <w:noProof/>
        </w:rPr>
        <w:t>, 58–65.</w:t>
      </w:r>
    </w:p>
    <w:p w14:paraId="217B558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Chatterjee, P. (2012). After subaltern studies. </w:t>
      </w:r>
      <w:r w:rsidRPr="00FD33A1">
        <w:rPr>
          <w:rFonts w:ascii="Times New Roman" w:hAnsi="Times New Roman" w:cs="Times New Roman"/>
          <w:i/>
          <w:iCs/>
          <w:noProof/>
        </w:rPr>
        <w:t>Economic and Political Weekly</w:t>
      </w:r>
      <w:r w:rsidRPr="00FD33A1">
        <w:rPr>
          <w:rFonts w:ascii="Times New Roman" w:hAnsi="Times New Roman" w:cs="Times New Roman"/>
          <w:noProof/>
        </w:rPr>
        <w:t xml:space="preserve">, </w:t>
      </w:r>
      <w:r w:rsidRPr="00FD33A1">
        <w:rPr>
          <w:rFonts w:ascii="Times New Roman" w:hAnsi="Times New Roman" w:cs="Times New Roman"/>
          <w:i/>
          <w:iCs/>
          <w:noProof/>
        </w:rPr>
        <w:t>47</w:t>
      </w:r>
      <w:r w:rsidRPr="00FD33A1">
        <w:rPr>
          <w:rFonts w:ascii="Times New Roman" w:hAnsi="Times New Roman" w:cs="Times New Roman"/>
          <w:noProof/>
        </w:rPr>
        <w:t>(35), 44–49.</w:t>
      </w:r>
    </w:p>
    <w:p w14:paraId="138CBE70"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Ciotti, M. (2012). </w:t>
      </w:r>
      <w:r w:rsidRPr="00FD33A1">
        <w:rPr>
          <w:rFonts w:ascii="Times New Roman" w:hAnsi="Times New Roman" w:cs="Times New Roman"/>
          <w:i/>
          <w:iCs/>
          <w:noProof/>
        </w:rPr>
        <w:t>Retro-modern India: Forging the low-caste self</w:t>
      </w:r>
      <w:r w:rsidRPr="00FD33A1">
        <w:rPr>
          <w:rFonts w:ascii="Times New Roman" w:hAnsi="Times New Roman" w:cs="Times New Roman"/>
          <w:noProof/>
        </w:rPr>
        <w:t xml:space="preserve">. </w:t>
      </w:r>
      <w:r w:rsidRPr="00FD33A1">
        <w:rPr>
          <w:rFonts w:ascii="Times New Roman" w:hAnsi="Times New Roman" w:cs="Times New Roman"/>
          <w:i/>
          <w:iCs/>
          <w:noProof/>
        </w:rPr>
        <w:t>Retro-Modern India: Forging the Low-Caste Self</w:t>
      </w:r>
      <w:r w:rsidRPr="00FD33A1">
        <w:rPr>
          <w:rFonts w:ascii="Times New Roman" w:hAnsi="Times New Roman" w:cs="Times New Roman"/>
          <w:noProof/>
        </w:rPr>
        <w:t>.</w:t>
      </w:r>
    </w:p>
    <w:p w14:paraId="1972907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Desai, S., &amp; Dubey, A. (2012). Caste in 21st century India: Competing narratives. </w:t>
      </w:r>
      <w:r w:rsidRPr="00FD33A1">
        <w:rPr>
          <w:rFonts w:ascii="Times New Roman" w:hAnsi="Times New Roman" w:cs="Times New Roman"/>
          <w:i/>
          <w:iCs/>
          <w:noProof/>
        </w:rPr>
        <w:t>Economic and Political Weekly</w:t>
      </w:r>
      <w:r w:rsidRPr="00FD33A1">
        <w:rPr>
          <w:rFonts w:ascii="Times New Roman" w:hAnsi="Times New Roman" w:cs="Times New Roman"/>
          <w:noProof/>
        </w:rPr>
        <w:t xml:space="preserve">, </w:t>
      </w:r>
      <w:r w:rsidRPr="00FD33A1">
        <w:rPr>
          <w:rFonts w:ascii="Times New Roman" w:hAnsi="Times New Roman" w:cs="Times New Roman"/>
          <w:i/>
          <w:iCs/>
          <w:noProof/>
        </w:rPr>
        <w:t>46</w:t>
      </w:r>
      <w:r w:rsidRPr="00FD33A1">
        <w:rPr>
          <w:rFonts w:ascii="Times New Roman" w:hAnsi="Times New Roman" w:cs="Times New Roman"/>
          <w:noProof/>
        </w:rPr>
        <w:t>(11), 40.</w:t>
      </w:r>
    </w:p>
    <w:p w14:paraId="5B1D5E3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Deshpande, A., &amp; Ramachandran, R. (2019). Traditional hierarchies and affirmative action in a globalizing economy: Evidence from India. </w:t>
      </w:r>
      <w:r w:rsidRPr="00FD33A1">
        <w:rPr>
          <w:rFonts w:ascii="Times New Roman" w:hAnsi="Times New Roman" w:cs="Times New Roman"/>
          <w:i/>
          <w:iCs/>
          <w:noProof/>
        </w:rPr>
        <w:t>World Development</w:t>
      </w:r>
      <w:r w:rsidRPr="00FD33A1">
        <w:rPr>
          <w:rFonts w:ascii="Times New Roman" w:hAnsi="Times New Roman" w:cs="Times New Roman"/>
          <w:noProof/>
        </w:rPr>
        <w:t xml:space="preserve">, </w:t>
      </w:r>
      <w:r w:rsidRPr="00FD33A1">
        <w:rPr>
          <w:rFonts w:ascii="Times New Roman" w:hAnsi="Times New Roman" w:cs="Times New Roman"/>
          <w:i/>
          <w:iCs/>
          <w:noProof/>
        </w:rPr>
        <w:t>118</w:t>
      </w:r>
      <w:r w:rsidRPr="00FD33A1">
        <w:rPr>
          <w:rFonts w:ascii="Times New Roman" w:hAnsi="Times New Roman" w:cs="Times New Roman"/>
          <w:noProof/>
        </w:rPr>
        <w:t>, 63–78.</w:t>
      </w:r>
    </w:p>
    <w:p w14:paraId="10B4C2F8"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Djurfeldt, G., Athreya, V., Jayakumar, N., Lindberg, S., Rajagopal, A., &amp; Vidyasagar, R. (2008). Agrarian change and social mobility in Tamil Nadu. </w:t>
      </w:r>
      <w:r w:rsidRPr="00FD33A1">
        <w:rPr>
          <w:rFonts w:ascii="Times New Roman" w:hAnsi="Times New Roman" w:cs="Times New Roman"/>
          <w:i/>
          <w:iCs/>
          <w:noProof/>
        </w:rPr>
        <w:t xml:space="preserve">Economic and Political </w:t>
      </w:r>
      <w:r w:rsidRPr="00FD33A1">
        <w:rPr>
          <w:rFonts w:ascii="Times New Roman" w:hAnsi="Times New Roman" w:cs="Times New Roman"/>
          <w:i/>
          <w:iCs/>
          <w:noProof/>
        </w:rPr>
        <w:lastRenderedPageBreak/>
        <w:t>Weekly</w:t>
      </w:r>
      <w:r w:rsidRPr="00FD33A1">
        <w:rPr>
          <w:rFonts w:ascii="Times New Roman" w:hAnsi="Times New Roman" w:cs="Times New Roman"/>
          <w:noProof/>
        </w:rPr>
        <w:t>, 50–61.</w:t>
      </w:r>
    </w:p>
    <w:p w14:paraId="01A86D2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Dreze, J., &amp; Sen, A. (2013). </w:t>
      </w:r>
      <w:r w:rsidRPr="00FD33A1">
        <w:rPr>
          <w:rFonts w:ascii="Times New Roman" w:hAnsi="Times New Roman" w:cs="Times New Roman"/>
          <w:i/>
          <w:iCs/>
          <w:noProof/>
        </w:rPr>
        <w:t>An Uncertain Glory: India and its Contradictions</w:t>
      </w:r>
      <w:r w:rsidRPr="00FD33A1">
        <w:rPr>
          <w:rFonts w:ascii="Times New Roman" w:hAnsi="Times New Roman" w:cs="Times New Roman"/>
          <w:noProof/>
        </w:rPr>
        <w:t>. New Delhi: Allen Lane.</w:t>
      </w:r>
    </w:p>
    <w:p w14:paraId="3570287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Elgström, O., &amp; Smith, M. (2000). Introduction: Negotiation and policy-making in the european union – processes, system and order. </w:t>
      </w:r>
      <w:r w:rsidRPr="00FD33A1">
        <w:rPr>
          <w:rFonts w:ascii="Times New Roman" w:hAnsi="Times New Roman" w:cs="Times New Roman"/>
          <w:i/>
          <w:iCs/>
          <w:noProof/>
        </w:rPr>
        <w:t>Journal of European Public Policy</w:t>
      </w:r>
      <w:r w:rsidRPr="00FD33A1">
        <w:rPr>
          <w:rFonts w:ascii="Times New Roman" w:hAnsi="Times New Roman" w:cs="Times New Roman"/>
          <w:noProof/>
        </w:rPr>
        <w:t>.</w:t>
      </w:r>
    </w:p>
    <w:p w14:paraId="2ACD3905"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Ensminger, J., &amp; Knight, J. (1997). Changing Social Norms: Common Property, Bridewealth, and Clan Exogamy. </w:t>
      </w:r>
      <w:r w:rsidRPr="00FD33A1">
        <w:rPr>
          <w:rFonts w:ascii="Times New Roman" w:hAnsi="Times New Roman" w:cs="Times New Roman"/>
          <w:i/>
          <w:iCs/>
          <w:noProof/>
        </w:rPr>
        <w:t>Current Anthropology</w:t>
      </w:r>
      <w:r w:rsidRPr="00FD33A1">
        <w:rPr>
          <w:rFonts w:ascii="Times New Roman" w:hAnsi="Times New Roman" w:cs="Times New Roman"/>
          <w:noProof/>
        </w:rPr>
        <w:t xml:space="preserve">, </w:t>
      </w:r>
      <w:r w:rsidRPr="00FD33A1">
        <w:rPr>
          <w:rFonts w:ascii="Times New Roman" w:hAnsi="Times New Roman" w:cs="Times New Roman"/>
          <w:i/>
          <w:iCs/>
          <w:noProof/>
        </w:rPr>
        <w:t>38</w:t>
      </w:r>
      <w:r w:rsidRPr="00FD33A1">
        <w:rPr>
          <w:rFonts w:ascii="Times New Roman" w:hAnsi="Times New Roman" w:cs="Times New Roman"/>
          <w:noProof/>
        </w:rPr>
        <w:t>(1), 1–24.</w:t>
      </w:r>
    </w:p>
    <w:p w14:paraId="1E11475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Fraser, C. R. P., Rubin, J. Z., &amp; Brown, B. R. (1976). The Social Psychology of Bargaining and Negotiation. </w:t>
      </w:r>
      <w:r w:rsidRPr="00FD33A1">
        <w:rPr>
          <w:rFonts w:ascii="Times New Roman" w:hAnsi="Times New Roman" w:cs="Times New Roman"/>
          <w:i/>
          <w:iCs/>
          <w:noProof/>
        </w:rPr>
        <w:t>Industrial and Labor Relations Review</w:t>
      </w:r>
      <w:r w:rsidRPr="00FD33A1">
        <w:rPr>
          <w:rFonts w:ascii="Times New Roman" w:hAnsi="Times New Roman" w:cs="Times New Roman"/>
          <w:noProof/>
        </w:rPr>
        <w:t>.</w:t>
      </w:r>
    </w:p>
    <w:p w14:paraId="17E9A16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Gorringe, H. (2005). </w:t>
      </w:r>
      <w:r w:rsidRPr="00FD33A1">
        <w:rPr>
          <w:rFonts w:ascii="Times New Roman" w:hAnsi="Times New Roman" w:cs="Times New Roman"/>
          <w:i/>
          <w:iCs/>
          <w:noProof/>
        </w:rPr>
        <w:t>Untouchable citizens: Dalit movements and democratization in Tamil Nadu</w:t>
      </w:r>
      <w:r w:rsidRPr="00FD33A1">
        <w:rPr>
          <w:rFonts w:ascii="Times New Roman" w:hAnsi="Times New Roman" w:cs="Times New Roman"/>
          <w:noProof/>
        </w:rPr>
        <w:t>. New Delhi: SAGE.</w:t>
      </w:r>
    </w:p>
    <w:p w14:paraId="78E0CD7E" w14:textId="31614113"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Gorringe, H. (2010). Shifting the </w:t>
      </w:r>
      <w:r w:rsidR="009D79B3" w:rsidRPr="00FD33A1">
        <w:rPr>
          <w:rFonts w:ascii="Times New Roman" w:hAnsi="Times New Roman" w:cs="Times New Roman"/>
          <w:noProof/>
        </w:rPr>
        <w:t>‘</w:t>
      </w:r>
      <w:r w:rsidRPr="00FD33A1">
        <w:rPr>
          <w:rFonts w:ascii="Times New Roman" w:hAnsi="Times New Roman" w:cs="Times New Roman"/>
          <w:noProof/>
        </w:rPr>
        <w:t>Grindstone of Caste</w:t>
      </w:r>
      <w:r w:rsidR="009D79B3" w:rsidRPr="00FD33A1">
        <w:rPr>
          <w:rFonts w:ascii="Times New Roman" w:hAnsi="Times New Roman" w:cs="Times New Roman"/>
          <w:noProof/>
        </w:rPr>
        <w:t>’</w:t>
      </w:r>
      <w:r w:rsidRPr="00FD33A1">
        <w:rPr>
          <w:rFonts w:ascii="Times New Roman" w:hAnsi="Times New Roman" w:cs="Times New Roman"/>
          <w:noProof/>
        </w:rPr>
        <w:t xml:space="preserve">? Decreasing Dependency among Dalit Labourers in Tamil Nadu. In B. Harriss-White &amp; J. Heyer (Eds.), </w:t>
      </w:r>
      <w:r w:rsidRPr="00FD33A1">
        <w:rPr>
          <w:rFonts w:ascii="Times New Roman" w:hAnsi="Times New Roman" w:cs="Times New Roman"/>
          <w:i/>
          <w:iCs/>
          <w:noProof/>
        </w:rPr>
        <w:t>The Comparative Political Economy of Development: Africa and South Asia</w:t>
      </w:r>
      <w:r w:rsidRPr="00FD33A1">
        <w:rPr>
          <w:rFonts w:ascii="Times New Roman" w:hAnsi="Times New Roman" w:cs="Times New Roman"/>
          <w:noProof/>
        </w:rPr>
        <w:t xml:space="preserve"> (pp. 248–266). Oxon: Routledge.</w:t>
      </w:r>
    </w:p>
    <w:p w14:paraId="6338510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Gorringe, H. (2017). </w:t>
      </w:r>
      <w:r w:rsidRPr="00FD33A1">
        <w:rPr>
          <w:rFonts w:ascii="Times New Roman" w:hAnsi="Times New Roman" w:cs="Times New Roman"/>
          <w:i/>
          <w:iCs/>
          <w:noProof/>
        </w:rPr>
        <w:t>Panthers in parliament : Dalits, caste, and political power in South India</w:t>
      </w:r>
      <w:r w:rsidRPr="00FD33A1">
        <w:rPr>
          <w:rFonts w:ascii="Times New Roman" w:hAnsi="Times New Roman" w:cs="Times New Roman"/>
          <w:noProof/>
        </w:rPr>
        <w:t>. New Delhi: Oxford University Press.</w:t>
      </w:r>
    </w:p>
    <w:p w14:paraId="0288ABD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Guha, R. (1982). On Some Aspects of the Historiography of Colonial India. </w:t>
      </w:r>
      <w:r w:rsidRPr="00FD33A1">
        <w:rPr>
          <w:rFonts w:ascii="Times New Roman" w:hAnsi="Times New Roman" w:cs="Times New Roman"/>
          <w:i/>
          <w:iCs/>
          <w:noProof/>
        </w:rPr>
        <w:t>Subaltern Studies (Volume 1). Writings on South Asian History and Society</w:t>
      </w:r>
      <w:r w:rsidRPr="00FD33A1">
        <w:rPr>
          <w:rFonts w:ascii="Times New Roman" w:hAnsi="Times New Roman" w:cs="Times New Roman"/>
          <w:noProof/>
        </w:rPr>
        <w:t>.</w:t>
      </w:r>
    </w:p>
    <w:p w14:paraId="5035497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Gupta, D. (2000). </w:t>
      </w:r>
      <w:r w:rsidRPr="00FD33A1">
        <w:rPr>
          <w:rFonts w:ascii="Times New Roman" w:hAnsi="Times New Roman" w:cs="Times New Roman"/>
          <w:i/>
          <w:iCs/>
          <w:noProof/>
        </w:rPr>
        <w:t>Interrogating caste: Understanding hierarchy and difference in Indian society</w:t>
      </w:r>
      <w:r w:rsidRPr="00FD33A1">
        <w:rPr>
          <w:rFonts w:ascii="Times New Roman" w:hAnsi="Times New Roman" w:cs="Times New Roman"/>
          <w:noProof/>
        </w:rPr>
        <w:t>. Penguin Books India.</w:t>
      </w:r>
    </w:p>
    <w:p w14:paraId="274F7B4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Gupta, P., &amp; Thakur, M. (2017). The Changing Rural-agrarian Dominance: A Conceptual Excursus. </w:t>
      </w:r>
      <w:r w:rsidRPr="00FD33A1">
        <w:rPr>
          <w:rFonts w:ascii="Times New Roman" w:hAnsi="Times New Roman" w:cs="Times New Roman"/>
          <w:i/>
          <w:iCs/>
          <w:noProof/>
        </w:rPr>
        <w:t>Sociological Bulletin</w:t>
      </w:r>
      <w:r w:rsidRPr="00FD33A1">
        <w:rPr>
          <w:rFonts w:ascii="Times New Roman" w:hAnsi="Times New Roman" w:cs="Times New Roman"/>
          <w:noProof/>
        </w:rPr>
        <w:t xml:space="preserve">, </w:t>
      </w:r>
      <w:r w:rsidRPr="00FD33A1">
        <w:rPr>
          <w:rFonts w:ascii="Times New Roman" w:hAnsi="Times New Roman" w:cs="Times New Roman"/>
          <w:i/>
          <w:iCs/>
          <w:noProof/>
        </w:rPr>
        <w:t>66</w:t>
      </w:r>
      <w:r w:rsidRPr="00FD33A1">
        <w:rPr>
          <w:rFonts w:ascii="Times New Roman" w:hAnsi="Times New Roman" w:cs="Times New Roman"/>
          <w:noProof/>
        </w:rPr>
        <w:t>(1), 42–57.</w:t>
      </w:r>
    </w:p>
    <w:p w14:paraId="2F39FE2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Guru, G., &amp; Chakravarty, A. (2005). Who are the country’s poor? Social movement politics and Dalit poverty. In R. Ray &amp; F. Katzenstein (Eds.), </w:t>
      </w:r>
      <w:r w:rsidRPr="00FD33A1">
        <w:rPr>
          <w:rFonts w:ascii="Times New Roman" w:hAnsi="Times New Roman" w:cs="Times New Roman"/>
          <w:i/>
          <w:iCs/>
          <w:noProof/>
        </w:rPr>
        <w:t>Social movements in India: Poverty, power, and politics</w:t>
      </w:r>
      <w:r w:rsidRPr="00FD33A1">
        <w:rPr>
          <w:rFonts w:ascii="Times New Roman" w:hAnsi="Times New Roman" w:cs="Times New Roman"/>
          <w:noProof/>
        </w:rPr>
        <w:t xml:space="preserve"> (pp. 134–166). Oxford: Wiley/Blackwell.</w:t>
      </w:r>
    </w:p>
    <w:p w14:paraId="5ED72AE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Harriss-White, B. (2003). </w:t>
      </w:r>
      <w:r w:rsidRPr="00FD33A1">
        <w:rPr>
          <w:rFonts w:ascii="Times New Roman" w:hAnsi="Times New Roman" w:cs="Times New Roman"/>
          <w:i/>
          <w:iCs/>
          <w:noProof/>
        </w:rPr>
        <w:t>India working: Essays on society and economy</w:t>
      </w:r>
      <w:r w:rsidRPr="00FD33A1">
        <w:rPr>
          <w:rFonts w:ascii="Times New Roman" w:hAnsi="Times New Roman" w:cs="Times New Roman"/>
          <w:noProof/>
        </w:rPr>
        <w:t xml:space="preserve"> (Vol. 8). Cambridge University Press.</w:t>
      </w:r>
    </w:p>
    <w:p w14:paraId="7F96B85C"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Harriss-White, B., &amp; Gooptu, N. (2000). Mapping India’s World of Unorganised Labour’. In L. Panitch &amp; C. Leys (Eds.), </w:t>
      </w:r>
      <w:r w:rsidRPr="00FD33A1">
        <w:rPr>
          <w:rFonts w:ascii="Times New Roman" w:hAnsi="Times New Roman" w:cs="Times New Roman"/>
          <w:i/>
          <w:iCs/>
          <w:noProof/>
        </w:rPr>
        <w:t>Working Classes, Global Realities: Socialist Register 2001</w:t>
      </w:r>
      <w:r w:rsidRPr="00FD33A1">
        <w:rPr>
          <w:rFonts w:ascii="Times New Roman" w:hAnsi="Times New Roman" w:cs="Times New Roman"/>
          <w:noProof/>
        </w:rPr>
        <w:t xml:space="preserve"> (pp. 89–118). London: Merlin.</w:t>
      </w:r>
    </w:p>
    <w:p w14:paraId="542BA1B3"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Harriss‐White, B. (2014). Labour and petty production. </w:t>
      </w:r>
      <w:r w:rsidRPr="00FD33A1">
        <w:rPr>
          <w:rFonts w:ascii="Times New Roman" w:hAnsi="Times New Roman" w:cs="Times New Roman"/>
          <w:i/>
          <w:iCs/>
          <w:noProof/>
        </w:rPr>
        <w:t>Development and Change</w:t>
      </w:r>
      <w:r w:rsidRPr="00FD33A1">
        <w:rPr>
          <w:rFonts w:ascii="Times New Roman" w:hAnsi="Times New Roman" w:cs="Times New Roman"/>
          <w:noProof/>
        </w:rPr>
        <w:t xml:space="preserve">, </w:t>
      </w:r>
      <w:r w:rsidRPr="00FD33A1">
        <w:rPr>
          <w:rFonts w:ascii="Times New Roman" w:hAnsi="Times New Roman" w:cs="Times New Roman"/>
          <w:i/>
          <w:iCs/>
          <w:noProof/>
        </w:rPr>
        <w:t>45</w:t>
      </w:r>
      <w:r w:rsidRPr="00FD33A1">
        <w:rPr>
          <w:rFonts w:ascii="Times New Roman" w:hAnsi="Times New Roman" w:cs="Times New Roman"/>
          <w:noProof/>
        </w:rPr>
        <w:t>(5), 981–1000.</w:t>
      </w:r>
    </w:p>
    <w:p w14:paraId="28E728AB"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Harriss, J. (2012). Reflections on caste and class, hierarchy and dominance. </w:t>
      </w:r>
      <w:r w:rsidRPr="00FD33A1">
        <w:rPr>
          <w:rFonts w:ascii="Times New Roman" w:hAnsi="Times New Roman" w:cs="Times New Roman"/>
          <w:i/>
          <w:iCs/>
          <w:noProof/>
        </w:rPr>
        <w:t>Seminar</w:t>
      </w:r>
      <w:r w:rsidRPr="00FD33A1">
        <w:rPr>
          <w:rFonts w:ascii="Times New Roman" w:hAnsi="Times New Roman" w:cs="Times New Roman"/>
          <w:noProof/>
        </w:rPr>
        <w:t>, (633).</w:t>
      </w:r>
    </w:p>
    <w:p w14:paraId="470FFD64"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lastRenderedPageBreak/>
        <w:t xml:space="preserve">Harriss, J., &amp; Jeyaranjan, J. (2016). Rural Tamil Nadu in the Liberalization Era: What Do We Learn from Village Studies? In H. Himanshu, P. Jha, &amp; G. Rodgers (Eds.), </w:t>
      </w:r>
      <w:r w:rsidRPr="00FD33A1">
        <w:rPr>
          <w:rFonts w:ascii="Times New Roman" w:hAnsi="Times New Roman" w:cs="Times New Roman"/>
          <w:i/>
          <w:iCs/>
          <w:noProof/>
        </w:rPr>
        <w:t>The Changing Village in India - Insights from Longitudinal Research</w:t>
      </w:r>
      <w:r w:rsidRPr="00FD33A1">
        <w:rPr>
          <w:rFonts w:ascii="Times New Roman" w:hAnsi="Times New Roman" w:cs="Times New Roman"/>
          <w:noProof/>
        </w:rPr>
        <w:t>. New Delhi: Oxford University Press.</w:t>
      </w:r>
    </w:p>
    <w:p w14:paraId="4B78B3E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Harriss, J., Jeyaranjan, J., &amp; Nagaraj, K. (2010). Land, labour and caste politics in rural Tamil Nadu in the 20th century: Iruvelpattu (1916-2008). </w:t>
      </w:r>
      <w:r w:rsidRPr="00FD33A1">
        <w:rPr>
          <w:rFonts w:ascii="Times New Roman" w:hAnsi="Times New Roman" w:cs="Times New Roman"/>
          <w:i/>
          <w:iCs/>
          <w:noProof/>
        </w:rPr>
        <w:t>Economic and Political Weekly</w:t>
      </w:r>
      <w:r w:rsidRPr="00FD33A1">
        <w:rPr>
          <w:rFonts w:ascii="Times New Roman" w:hAnsi="Times New Roman" w:cs="Times New Roman"/>
          <w:noProof/>
        </w:rPr>
        <w:t>, 47–61.</w:t>
      </w:r>
    </w:p>
    <w:p w14:paraId="709B79B0"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Haynes, D., &amp; Prakash, G. (1993). </w:t>
      </w:r>
      <w:r w:rsidRPr="00FD33A1">
        <w:rPr>
          <w:rFonts w:ascii="Times New Roman" w:hAnsi="Times New Roman" w:cs="Times New Roman"/>
          <w:i/>
          <w:iCs/>
          <w:noProof/>
        </w:rPr>
        <w:t>Contesting Power: Resistance and Everyday Social Relations in South Asia.</w:t>
      </w:r>
      <w:r w:rsidRPr="00FD33A1">
        <w:rPr>
          <w:rFonts w:ascii="Times New Roman" w:hAnsi="Times New Roman" w:cs="Times New Roman"/>
          <w:noProof/>
        </w:rPr>
        <w:t xml:space="preserve"> </w:t>
      </w:r>
      <w:r w:rsidRPr="00FD33A1">
        <w:rPr>
          <w:rFonts w:ascii="Times New Roman" w:hAnsi="Times New Roman" w:cs="Times New Roman"/>
          <w:i/>
          <w:iCs/>
          <w:noProof/>
        </w:rPr>
        <w:t>The Journal of Asian Studies</w:t>
      </w:r>
      <w:r w:rsidRPr="00FD33A1">
        <w:rPr>
          <w:rFonts w:ascii="Times New Roman" w:hAnsi="Times New Roman" w:cs="Times New Roman"/>
          <w:noProof/>
        </w:rPr>
        <w:t>.</w:t>
      </w:r>
    </w:p>
    <w:p w14:paraId="1798590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Heyer, J. (2012). The marginalisation of Dalits in a modernising economy. In </w:t>
      </w:r>
      <w:r w:rsidRPr="00FD33A1">
        <w:rPr>
          <w:rFonts w:ascii="Times New Roman" w:hAnsi="Times New Roman" w:cs="Times New Roman"/>
          <w:i/>
          <w:iCs/>
          <w:noProof/>
        </w:rPr>
        <w:t>The Comparative Political Economy of Development: Africa and South Asia</w:t>
      </w:r>
      <w:r w:rsidRPr="00FD33A1">
        <w:rPr>
          <w:rFonts w:ascii="Times New Roman" w:hAnsi="Times New Roman" w:cs="Times New Roman"/>
          <w:noProof/>
        </w:rPr>
        <w:t>.</w:t>
      </w:r>
    </w:p>
    <w:p w14:paraId="4A9C911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Hicken, A. (2011). Clientelism. </w:t>
      </w:r>
      <w:r w:rsidRPr="00FD33A1">
        <w:rPr>
          <w:rFonts w:ascii="Times New Roman" w:hAnsi="Times New Roman" w:cs="Times New Roman"/>
          <w:i/>
          <w:iCs/>
          <w:noProof/>
        </w:rPr>
        <w:t>Annual Review of Political Science</w:t>
      </w:r>
      <w:r w:rsidRPr="00FD33A1">
        <w:rPr>
          <w:rFonts w:ascii="Times New Roman" w:hAnsi="Times New Roman" w:cs="Times New Roman"/>
          <w:noProof/>
        </w:rPr>
        <w:t xml:space="preserve">, </w:t>
      </w:r>
      <w:r w:rsidRPr="00FD33A1">
        <w:rPr>
          <w:rFonts w:ascii="Times New Roman" w:hAnsi="Times New Roman" w:cs="Times New Roman"/>
          <w:i/>
          <w:iCs/>
          <w:noProof/>
        </w:rPr>
        <w:t>14</w:t>
      </w:r>
      <w:r w:rsidRPr="00FD33A1">
        <w:rPr>
          <w:rFonts w:ascii="Times New Roman" w:hAnsi="Times New Roman" w:cs="Times New Roman"/>
          <w:noProof/>
        </w:rPr>
        <w:t>, 289–310.</w:t>
      </w:r>
    </w:p>
    <w:p w14:paraId="73775C5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Hughes, C. (2015). Poor people’s politics in East Timor. </w:t>
      </w:r>
      <w:r w:rsidRPr="00FD33A1">
        <w:rPr>
          <w:rFonts w:ascii="Times New Roman" w:hAnsi="Times New Roman" w:cs="Times New Roman"/>
          <w:i/>
          <w:iCs/>
          <w:noProof/>
        </w:rPr>
        <w:t>Third World Quarterly</w:t>
      </w:r>
      <w:r w:rsidRPr="00FD33A1">
        <w:rPr>
          <w:rFonts w:ascii="Times New Roman" w:hAnsi="Times New Roman" w:cs="Times New Roman"/>
          <w:noProof/>
        </w:rPr>
        <w:t xml:space="preserve">, </w:t>
      </w:r>
      <w:r w:rsidRPr="00FD33A1">
        <w:rPr>
          <w:rFonts w:ascii="Times New Roman" w:hAnsi="Times New Roman" w:cs="Times New Roman"/>
          <w:i/>
          <w:iCs/>
          <w:noProof/>
        </w:rPr>
        <w:t>36</w:t>
      </w:r>
      <w:r w:rsidRPr="00FD33A1">
        <w:rPr>
          <w:rFonts w:ascii="Times New Roman" w:hAnsi="Times New Roman" w:cs="Times New Roman"/>
          <w:noProof/>
        </w:rPr>
        <w:t>(5), 908–928.</w:t>
      </w:r>
    </w:p>
    <w:p w14:paraId="451DB9B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Jakimow, T. (2014). ‘Breaking the backbone of farmers’: contestations in a rural employment guarantee scheme. </w:t>
      </w:r>
      <w:r w:rsidRPr="00FD33A1">
        <w:rPr>
          <w:rFonts w:ascii="Times New Roman" w:hAnsi="Times New Roman" w:cs="Times New Roman"/>
          <w:i/>
          <w:iCs/>
          <w:noProof/>
        </w:rPr>
        <w:t>Journal of Peasant Studies</w:t>
      </w:r>
      <w:r w:rsidRPr="00FD33A1">
        <w:rPr>
          <w:rFonts w:ascii="Times New Roman" w:hAnsi="Times New Roman" w:cs="Times New Roman"/>
          <w:noProof/>
        </w:rPr>
        <w:t xml:space="preserve">, </w:t>
      </w:r>
      <w:r w:rsidRPr="00FD33A1">
        <w:rPr>
          <w:rFonts w:ascii="Times New Roman" w:hAnsi="Times New Roman" w:cs="Times New Roman"/>
          <w:i/>
          <w:iCs/>
          <w:noProof/>
        </w:rPr>
        <w:t>41</w:t>
      </w:r>
      <w:r w:rsidRPr="00FD33A1">
        <w:rPr>
          <w:rFonts w:ascii="Times New Roman" w:hAnsi="Times New Roman" w:cs="Times New Roman"/>
          <w:noProof/>
        </w:rPr>
        <w:t>(2), 1–19.</w:t>
      </w:r>
    </w:p>
    <w:p w14:paraId="206B5C8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Jeffrey, C. (2001). ’ A fist is stronger than five fingers ’: caste and dominance in rural north India. </w:t>
      </w:r>
      <w:r w:rsidRPr="00FD33A1">
        <w:rPr>
          <w:rFonts w:ascii="Times New Roman" w:hAnsi="Times New Roman" w:cs="Times New Roman"/>
          <w:i/>
          <w:iCs/>
          <w:noProof/>
        </w:rPr>
        <w:t>Transitions of the Institute of British Geographers</w:t>
      </w:r>
      <w:r w:rsidRPr="00FD33A1">
        <w:rPr>
          <w:rFonts w:ascii="Times New Roman" w:hAnsi="Times New Roman" w:cs="Times New Roman"/>
          <w:noProof/>
        </w:rPr>
        <w:t xml:space="preserve">, </w:t>
      </w:r>
      <w:r w:rsidRPr="00FD33A1">
        <w:rPr>
          <w:rFonts w:ascii="Times New Roman" w:hAnsi="Times New Roman" w:cs="Times New Roman"/>
          <w:i/>
          <w:iCs/>
          <w:noProof/>
        </w:rPr>
        <w:t>26</w:t>
      </w:r>
      <w:r w:rsidRPr="00FD33A1">
        <w:rPr>
          <w:rFonts w:ascii="Times New Roman" w:hAnsi="Times New Roman" w:cs="Times New Roman"/>
          <w:noProof/>
        </w:rPr>
        <w:t>, 217–236.</w:t>
      </w:r>
    </w:p>
    <w:p w14:paraId="51CA85B5" w14:textId="1DAD9613"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Jodhka, S. S. (2016). A Forgotten </w:t>
      </w:r>
      <w:r w:rsidR="009D79B3" w:rsidRPr="00FD33A1">
        <w:rPr>
          <w:rFonts w:ascii="Times New Roman" w:hAnsi="Times New Roman" w:cs="Times New Roman"/>
          <w:noProof/>
        </w:rPr>
        <w:t>‘</w:t>
      </w:r>
      <w:r w:rsidRPr="00FD33A1">
        <w:rPr>
          <w:rFonts w:ascii="Times New Roman" w:hAnsi="Times New Roman" w:cs="Times New Roman"/>
          <w:noProof/>
        </w:rPr>
        <w:t>Revolution</w:t>
      </w:r>
      <w:r w:rsidR="009D79B3" w:rsidRPr="00FD33A1">
        <w:rPr>
          <w:rFonts w:ascii="Times New Roman" w:hAnsi="Times New Roman" w:cs="Times New Roman"/>
          <w:noProof/>
        </w:rPr>
        <w:t>’</w:t>
      </w:r>
      <w:r w:rsidRPr="00FD33A1">
        <w:rPr>
          <w:rFonts w:ascii="Times New Roman" w:hAnsi="Times New Roman" w:cs="Times New Roman"/>
          <w:noProof/>
        </w:rPr>
        <w:t xml:space="preserve">: Revisiting Rural Life and Agrarian Change in Haryana. In H. Himanshu, P. Jha, &amp; G. Rodgers (Eds.), </w:t>
      </w:r>
      <w:r w:rsidRPr="00FD33A1">
        <w:rPr>
          <w:rFonts w:ascii="Times New Roman" w:hAnsi="Times New Roman" w:cs="Times New Roman"/>
          <w:i/>
          <w:iCs/>
          <w:noProof/>
        </w:rPr>
        <w:t>The Changing Village in India - Insights from Longitudinal Research</w:t>
      </w:r>
      <w:r w:rsidRPr="00FD33A1">
        <w:rPr>
          <w:rFonts w:ascii="Times New Roman" w:hAnsi="Times New Roman" w:cs="Times New Roman"/>
          <w:noProof/>
        </w:rPr>
        <w:t>. New Delhi: Oxford University Press.</w:t>
      </w:r>
    </w:p>
    <w:p w14:paraId="61784D9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Johansson, A., &amp; Vinthagen, S. (2014). Dimensions of Everyday Resistance: An Analytical Framework. </w:t>
      </w:r>
      <w:r w:rsidRPr="00FD33A1">
        <w:rPr>
          <w:rFonts w:ascii="Times New Roman" w:hAnsi="Times New Roman" w:cs="Times New Roman"/>
          <w:i/>
          <w:iCs/>
          <w:noProof/>
        </w:rPr>
        <w:t>Critical Sociology</w:t>
      </w:r>
      <w:r w:rsidRPr="00FD33A1">
        <w:rPr>
          <w:rFonts w:ascii="Times New Roman" w:hAnsi="Times New Roman" w:cs="Times New Roman"/>
          <w:noProof/>
        </w:rPr>
        <w:t>.</w:t>
      </w:r>
    </w:p>
    <w:p w14:paraId="5F4575B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KAPUR, D., PRASAD, C. B., PRITCHETT, L., &amp; BABU, D. S. (2010). Rethinking Inequality: Dalits in Uttar Pradesh in the Market Reform Era. </w:t>
      </w:r>
      <w:r w:rsidRPr="00FD33A1">
        <w:rPr>
          <w:rFonts w:ascii="Times New Roman" w:hAnsi="Times New Roman" w:cs="Times New Roman"/>
          <w:i/>
          <w:iCs/>
          <w:noProof/>
        </w:rPr>
        <w:t>Economic and Political Weekly</w:t>
      </w:r>
      <w:r w:rsidRPr="00FD33A1">
        <w:rPr>
          <w:rFonts w:ascii="Times New Roman" w:hAnsi="Times New Roman" w:cs="Times New Roman"/>
          <w:noProof/>
        </w:rPr>
        <w:t xml:space="preserve">, </w:t>
      </w:r>
      <w:r w:rsidRPr="00FD33A1">
        <w:rPr>
          <w:rFonts w:ascii="Times New Roman" w:hAnsi="Times New Roman" w:cs="Times New Roman"/>
          <w:i/>
          <w:iCs/>
          <w:noProof/>
        </w:rPr>
        <w:t>45</w:t>
      </w:r>
      <w:r w:rsidRPr="00FD33A1">
        <w:rPr>
          <w:rFonts w:ascii="Times New Roman" w:hAnsi="Times New Roman" w:cs="Times New Roman"/>
          <w:noProof/>
        </w:rPr>
        <w:t>(35), 39–49.</w:t>
      </w:r>
    </w:p>
    <w:p w14:paraId="06C1E1D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Kerkvliet, B. J. (2009). Everyday politics in peasant societies (and ours). </w:t>
      </w:r>
      <w:r w:rsidRPr="00FD33A1">
        <w:rPr>
          <w:rFonts w:ascii="Times New Roman" w:hAnsi="Times New Roman" w:cs="Times New Roman"/>
          <w:i/>
          <w:iCs/>
          <w:noProof/>
        </w:rPr>
        <w:t>The Journal of Peasant Studies</w:t>
      </w:r>
      <w:r w:rsidRPr="00FD33A1">
        <w:rPr>
          <w:rFonts w:ascii="Times New Roman" w:hAnsi="Times New Roman" w:cs="Times New Roman"/>
          <w:noProof/>
        </w:rPr>
        <w:t xml:space="preserve">, </w:t>
      </w:r>
      <w:r w:rsidRPr="00FD33A1">
        <w:rPr>
          <w:rFonts w:ascii="Times New Roman" w:hAnsi="Times New Roman" w:cs="Times New Roman"/>
          <w:i/>
          <w:iCs/>
          <w:noProof/>
        </w:rPr>
        <w:t>36</w:t>
      </w:r>
      <w:r w:rsidRPr="00FD33A1">
        <w:rPr>
          <w:rFonts w:ascii="Times New Roman" w:hAnsi="Times New Roman" w:cs="Times New Roman"/>
          <w:noProof/>
        </w:rPr>
        <w:t>(1), 227–243.</w:t>
      </w:r>
    </w:p>
    <w:p w14:paraId="5701F8A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Kitschelt, H., &amp; Wilkinson, S. (2007). </w:t>
      </w:r>
      <w:r w:rsidRPr="00FD33A1">
        <w:rPr>
          <w:rFonts w:ascii="Times New Roman" w:hAnsi="Times New Roman" w:cs="Times New Roman"/>
          <w:i/>
          <w:iCs/>
          <w:noProof/>
        </w:rPr>
        <w:t>Patrons, Clients and Policies Patterns of Democratic Accountability and Political Competition</w:t>
      </w:r>
      <w:r w:rsidRPr="00FD33A1">
        <w:rPr>
          <w:rFonts w:ascii="Times New Roman" w:hAnsi="Times New Roman" w:cs="Times New Roman"/>
          <w:noProof/>
        </w:rPr>
        <w:t>. Camnridge: Cambridge University Press.</w:t>
      </w:r>
    </w:p>
    <w:p w14:paraId="01AE038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Lerche, J. (1999). Politics of the poor: Agricultural labourers and political transformations in Uttar Pradesh. </w:t>
      </w:r>
      <w:r w:rsidRPr="00FD33A1">
        <w:rPr>
          <w:rFonts w:ascii="Times New Roman" w:hAnsi="Times New Roman" w:cs="Times New Roman"/>
          <w:i/>
          <w:iCs/>
          <w:noProof/>
        </w:rPr>
        <w:t>The Journal of Peasant Studies</w:t>
      </w:r>
      <w:r w:rsidRPr="00FD33A1">
        <w:rPr>
          <w:rFonts w:ascii="Times New Roman" w:hAnsi="Times New Roman" w:cs="Times New Roman"/>
          <w:noProof/>
        </w:rPr>
        <w:t xml:space="preserve">, </w:t>
      </w:r>
      <w:r w:rsidRPr="00FD33A1">
        <w:rPr>
          <w:rFonts w:ascii="Times New Roman" w:hAnsi="Times New Roman" w:cs="Times New Roman"/>
          <w:i/>
          <w:iCs/>
          <w:noProof/>
        </w:rPr>
        <w:t>26</w:t>
      </w:r>
      <w:r w:rsidRPr="00FD33A1">
        <w:rPr>
          <w:rFonts w:ascii="Times New Roman" w:hAnsi="Times New Roman" w:cs="Times New Roman"/>
          <w:noProof/>
        </w:rPr>
        <w:t>(2–3), 182–241.</w:t>
      </w:r>
    </w:p>
    <w:p w14:paraId="0BCB17FC"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Lewis, O. (1975). </w:t>
      </w:r>
      <w:r w:rsidRPr="00FD33A1">
        <w:rPr>
          <w:rFonts w:ascii="Times New Roman" w:hAnsi="Times New Roman" w:cs="Times New Roman"/>
          <w:i/>
          <w:iCs/>
          <w:noProof/>
        </w:rPr>
        <w:t>Five families: Mexican case studies in the culture of poverty</w:t>
      </w:r>
      <w:r w:rsidRPr="00FD33A1">
        <w:rPr>
          <w:rFonts w:ascii="Times New Roman" w:hAnsi="Times New Roman" w:cs="Times New Roman"/>
          <w:noProof/>
        </w:rPr>
        <w:t>. Basic Books.</w:t>
      </w:r>
    </w:p>
    <w:p w14:paraId="0963D74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Maiorano, D., &amp; Manor, J. (2017). Poverty Reduction, Inequalities and Human Development </w:t>
      </w:r>
      <w:r w:rsidRPr="00FD33A1">
        <w:rPr>
          <w:rFonts w:ascii="Times New Roman" w:hAnsi="Times New Roman" w:cs="Times New Roman"/>
          <w:noProof/>
        </w:rPr>
        <w:lastRenderedPageBreak/>
        <w:t xml:space="preserve">in the BRICS: Policies and Outcomes. </w:t>
      </w:r>
      <w:r w:rsidRPr="00FD33A1">
        <w:rPr>
          <w:rFonts w:ascii="Times New Roman" w:hAnsi="Times New Roman" w:cs="Times New Roman"/>
          <w:i/>
          <w:iCs/>
          <w:noProof/>
        </w:rPr>
        <w:t>Commonwealth &amp; Comparative Politics</w:t>
      </w:r>
      <w:r w:rsidRPr="00FD33A1">
        <w:rPr>
          <w:rFonts w:ascii="Times New Roman" w:hAnsi="Times New Roman" w:cs="Times New Roman"/>
          <w:noProof/>
        </w:rPr>
        <w:t xml:space="preserve">, </w:t>
      </w:r>
      <w:r w:rsidRPr="00FD33A1">
        <w:rPr>
          <w:rFonts w:ascii="Times New Roman" w:hAnsi="Times New Roman" w:cs="Times New Roman"/>
          <w:i/>
          <w:iCs/>
          <w:noProof/>
        </w:rPr>
        <w:t>56</w:t>
      </w:r>
      <w:r w:rsidRPr="00FD33A1">
        <w:rPr>
          <w:rFonts w:ascii="Times New Roman" w:hAnsi="Times New Roman" w:cs="Times New Roman"/>
          <w:noProof/>
        </w:rPr>
        <w:t>(3).</w:t>
      </w:r>
    </w:p>
    <w:p w14:paraId="56464FCB"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Manor, J. (2012). Accommodation and conflict. </w:t>
      </w:r>
      <w:r w:rsidRPr="00FD33A1">
        <w:rPr>
          <w:rFonts w:ascii="Times New Roman" w:hAnsi="Times New Roman" w:cs="Times New Roman"/>
          <w:i/>
          <w:iCs/>
          <w:noProof/>
        </w:rPr>
        <w:t>Seminar</w:t>
      </w:r>
      <w:r w:rsidRPr="00FD33A1">
        <w:rPr>
          <w:rFonts w:ascii="Times New Roman" w:hAnsi="Times New Roman" w:cs="Times New Roman"/>
          <w:noProof/>
        </w:rPr>
        <w:t xml:space="preserve">, </w:t>
      </w:r>
      <w:r w:rsidRPr="00FD33A1">
        <w:rPr>
          <w:rFonts w:ascii="Times New Roman" w:hAnsi="Times New Roman" w:cs="Times New Roman"/>
          <w:i/>
          <w:iCs/>
          <w:noProof/>
        </w:rPr>
        <w:t>633</w:t>
      </w:r>
      <w:r w:rsidRPr="00FD33A1">
        <w:rPr>
          <w:rFonts w:ascii="Times New Roman" w:hAnsi="Times New Roman" w:cs="Times New Roman"/>
          <w:noProof/>
        </w:rPr>
        <w:t>.</w:t>
      </w:r>
    </w:p>
    <w:p w14:paraId="626FF23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Mendelsohn, O. (1993). The transformation of authority in rural India. </w:t>
      </w:r>
      <w:r w:rsidRPr="00FD33A1">
        <w:rPr>
          <w:rFonts w:ascii="Times New Roman" w:hAnsi="Times New Roman" w:cs="Times New Roman"/>
          <w:i/>
          <w:iCs/>
          <w:noProof/>
        </w:rPr>
        <w:t>Modern Asian Studies</w:t>
      </w:r>
      <w:r w:rsidRPr="00FD33A1">
        <w:rPr>
          <w:rFonts w:ascii="Times New Roman" w:hAnsi="Times New Roman" w:cs="Times New Roman"/>
          <w:noProof/>
        </w:rPr>
        <w:t xml:space="preserve">, </w:t>
      </w:r>
      <w:r w:rsidRPr="00FD33A1">
        <w:rPr>
          <w:rFonts w:ascii="Times New Roman" w:hAnsi="Times New Roman" w:cs="Times New Roman"/>
          <w:i/>
          <w:iCs/>
          <w:noProof/>
        </w:rPr>
        <w:t>27</w:t>
      </w:r>
      <w:r w:rsidRPr="00FD33A1">
        <w:rPr>
          <w:rFonts w:ascii="Times New Roman" w:hAnsi="Times New Roman" w:cs="Times New Roman"/>
          <w:noProof/>
        </w:rPr>
        <w:t>(04), 805–842.</w:t>
      </w:r>
    </w:p>
    <w:p w14:paraId="7BAD231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Mendelsohn, O., &amp; Vicziany, M. (1998). </w:t>
      </w:r>
      <w:r w:rsidRPr="00FD33A1">
        <w:rPr>
          <w:rFonts w:ascii="Times New Roman" w:hAnsi="Times New Roman" w:cs="Times New Roman"/>
          <w:i/>
          <w:iCs/>
          <w:noProof/>
        </w:rPr>
        <w:t>The Untouchables: Subordination, Poverty and the State in Modern India</w:t>
      </w:r>
      <w:r w:rsidRPr="00FD33A1">
        <w:rPr>
          <w:rFonts w:ascii="Times New Roman" w:hAnsi="Times New Roman" w:cs="Times New Roman"/>
          <w:noProof/>
        </w:rPr>
        <w:t>. Cambridge: Cambridge University Press.</w:t>
      </w:r>
    </w:p>
    <w:p w14:paraId="3C2913A2"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Ministry of Home Affairs. (2015). </w:t>
      </w:r>
      <w:r w:rsidRPr="00FD33A1">
        <w:rPr>
          <w:rFonts w:ascii="Times New Roman" w:hAnsi="Times New Roman" w:cs="Times New Roman"/>
          <w:i/>
          <w:iCs/>
          <w:noProof/>
        </w:rPr>
        <w:t>Crime in India Report</w:t>
      </w:r>
      <w:r w:rsidRPr="00FD33A1">
        <w:rPr>
          <w:rFonts w:ascii="Times New Roman" w:hAnsi="Times New Roman" w:cs="Times New Roman"/>
          <w:noProof/>
        </w:rPr>
        <w:t>. New Delhi.</w:t>
      </w:r>
    </w:p>
    <w:p w14:paraId="0EE310AF"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Mishra, S. (2007). </w:t>
      </w:r>
      <w:r w:rsidRPr="00FD33A1">
        <w:rPr>
          <w:rFonts w:ascii="Times New Roman" w:hAnsi="Times New Roman" w:cs="Times New Roman"/>
          <w:i/>
          <w:iCs/>
          <w:noProof/>
        </w:rPr>
        <w:t>Agrarian scenario in post-reform India: A story of distress, despair and death</w:t>
      </w:r>
      <w:r w:rsidRPr="00FD33A1">
        <w:rPr>
          <w:rFonts w:ascii="Times New Roman" w:hAnsi="Times New Roman" w:cs="Times New Roman"/>
          <w:noProof/>
        </w:rPr>
        <w:t>. Mumbai: IGIDR.</w:t>
      </w:r>
    </w:p>
    <w:p w14:paraId="3803D374"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Moffat, M. (1979). An Untouchable Community in India. Princeton University Press, Princeton.</w:t>
      </w:r>
    </w:p>
    <w:p w14:paraId="05D3E6BB"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Mosse, D. (1994). Idioms of subordination and styles of protest among Christian and Hindu Harijan castes in Tamil Nadu. </w:t>
      </w:r>
      <w:r w:rsidRPr="00FD33A1">
        <w:rPr>
          <w:rFonts w:ascii="Times New Roman" w:hAnsi="Times New Roman" w:cs="Times New Roman"/>
          <w:i/>
          <w:iCs/>
          <w:noProof/>
        </w:rPr>
        <w:t>Contributions to Indian Sociology</w:t>
      </w:r>
      <w:r w:rsidRPr="00FD33A1">
        <w:rPr>
          <w:rFonts w:ascii="Times New Roman" w:hAnsi="Times New Roman" w:cs="Times New Roman"/>
          <w:noProof/>
        </w:rPr>
        <w:t xml:space="preserve">, </w:t>
      </w:r>
      <w:r w:rsidRPr="00FD33A1">
        <w:rPr>
          <w:rFonts w:ascii="Times New Roman" w:hAnsi="Times New Roman" w:cs="Times New Roman"/>
          <w:i/>
          <w:iCs/>
          <w:noProof/>
        </w:rPr>
        <w:t>28</w:t>
      </w:r>
      <w:r w:rsidRPr="00FD33A1">
        <w:rPr>
          <w:rFonts w:ascii="Times New Roman" w:hAnsi="Times New Roman" w:cs="Times New Roman"/>
          <w:noProof/>
        </w:rPr>
        <w:t>(1), 67–106.</w:t>
      </w:r>
    </w:p>
    <w:p w14:paraId="2D474264"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Mosse, D. (2018). Caste and development: Contemporary perspectives on a structure of discrimination and advantage. </w:t>
      </w:r>
      <w:r w:rsidRPr="00FD33A1">
        <w:rPr>
          <w:rFonts w:ascii="Times New Roman" w:hAnsi="Times New Roman" w:cs="Times New Roman"/>
          <w:i/>
          <w:iCs/>
          <w:noProof/>
        </w:rPr>
        <w:t>World Development</w:t>
      </w:r>
      <w:r w:rsidRPr="00FD33A1">
        <w:rPr>
          <w:rFonts w:ascii="Times New Roman" w:hAnsi="Times New Roman" w:cs="Times New Roman"/>
          <w:noProof/>
        </w:rPr>
        <w:t>.</w:t>
      </w:r>
    </w:p>
    <w:p w14:paraId="21CAC17C"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Navsarjan Trust, &amp; RFK Center. (2010). </w:t>
      </w:r>
      <w:r w:rsidRPr="00FD33A1">
        <w:rPr>
          <w:rFonts w:ascii="Times New Roman" w:hAnsi="Times New Roman" w:cs="Times New Roman"/>
          <w:i/>
          <w:iCs/>
          <w:noProof/>
        </w:rPr>
        <w:t>Understanding Untouchability</w:t>
      </w:r>
      <w:r w:rsidRPr="00FD33A1">
        <w:rPr>
          <w:rFonts w:ascii="Times New Roman" w:hAnsi="Times New Roman" w:cs="Times New Roman"/>
          <w:noProof/>
        </w:rPr>
        <w:t>.</w:t>
      </w:r>
    </w:p>
    <w:p w14:paraId="7A6D6CA3"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Olausson, M. (2017). </w:t>
      </w:r>
      <w:r w:rsidRPr="00FD33A1">
        <w:rPr>
          <w:rFonts w:ascii="Times New Roman" w:hAnsi="Times New Roman" w:cs="Times New Roman"/>
          <w:i/>
          <w:iCs/>
          <w:noProof/>
        </w:rPr>
        <w:t>Women’s perception of participation in NREGA, empowerment as a process of change.: A comparative Minor Field Study between two villages in Andhra Pradesh, India.</w:t>
      </w:r>
      <w:r w:rsidRPr="00FD33A1">
        <w:rPr>
          <w:rFonts w:ascii="Times New Roman" w:hAnsi="Times New Roman" w:cs="Times New Roman"/>
          <w:noProof/>
        </w:rPr>
        <w:t xml:space="preserve"> Uppsala University.</w:t>
      </w:r>
    </w:p>
    <w:p w14:paraId="52EDAB1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Paddison, R., Philo, C., Routledge, P., &amp; Sharp, J. (2002). </w:t>
      </w:r>
      <w:r w:rsidRPr="00FD33A1">
        <w:rPr>
          <w:rFonts w:ascii="Times New Roman" w:hAnsi="Times New Roman" w:cs="Times New Roman"/>
          <w:i/>
          <w:iCs/>
          <w:noProof/>
        </w:rPr>
        <w:t>Entanglements of power: geographies of domination/resistance</w:t>
      </w:r>
      <w:r w:rsidRPr="00FD33A1">
        <w:rPr>
          <w:rFonts w:ascii="Times New Roman" w:hAnsi="Times New Roman" w:cs="Times New Roman"/>
          <w:noProof/>
        </w:rPr>
        <w:t>. Routledge.</w:t>
      </w:r>
    </w:p>
    <w:p w14:paraId="02C87CC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Pandey, G. (1978). </w:t>
      </w:r>
      <w:r w:rsidRPr="00FD33A1">
        <w:rPr>
          <w:rFonts w:ascii="Times New Roman" w:hAnsi="Times New Roman" w:cs="Times New Roman"/>
          <w:i/>
          <w:iCs/>
          <w:noProof/>
        </w:rPr>
        <w:t>The ascendancy of the congress in Uttar Pradesh, 1926-34: a study in imperfect mobilization</w:t>
      </w:r>
      <w:r w:rsidRPr="00FD33A1">
        <w:rPr>
          <w:rFonts w:ascii="Times New Roman" w:hAnsi="Times New Roman" w:cs="Times New Roman"/>
          <w:noProof/>
        </w:rPr>
        <w:t>. New Delhi: Oxford University Press.</w:t>
      </w:r>
    </w:p>
    <w:p w14:paraId="60678A5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Parry, J. (2020). </w:t>
      </w:r>
      <w:r w:rsidRPr="00FD33A1">
        <w:rPr>
          <w:rFonts w:ascii="Times New Roman" w:hAnsi="Times New Roman" w:cs="Times New Roman"/>
          <w:i/>
          <w:iCs/>
          <w:noProof/>
        </w:rPr>
        <w:t>Classes of Labour: Work and Life in a Central Indian Steel Town</w:t>
      </w:r>
      <w:r w:rsidRPr="00FD33A1">
        <w:rPr>
          <w:rFonts w:ascii="Times New Roman" w:hAnsi="Times New Roman" w:cs="Times New Roman"/>
          <w:noProof/>
        </w:rPr>
        <w:t>. Oxon: Routledge.</w:t>
      </w:r>
    </w:p>
    <w:p w14:paraId="7F33710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Parry, J. P. (1999). Lords of labour: Working and shirking in Bhilai. </w:t>
      </w:r>
      <w:r w:rsidRPr="00FD33A1">
        <w:rPr>
          <w:rFonts w:ascii="Times New Roman" w:hAnsi="Times New Roman" w:cs="Times New Roman"/>
          <w:i/>
          <w:iCs/>
          <w:noProof/>
        </w:rPr>
        <w:t>Contributions to Indian Sociology</w:t>
      </w:r>
      <w:r w:rsidRPr="00FD33A1">
        <w:rPr>
          <w:rFonts w:ascii="Times New Roman" w:hAnsi="Times New Roman" w:cs="Times New Roman"/>
          <w:noProof/>
        </w:rPr>
        <w:t xml:space="preserve">, </w:t>
      </w:r>
      <w:r w:rsidRPr="00FD33A1">
        <w:rPr>
          <w:rFonts w:ascii="Times New Roman" w:hAnsi="Times New Roman" w:cs="Times New Roman"/>
          <w:i/>
          <w:iCs/>
          <w:noProof/>
        </w:rPr>
        <w:t>33</w:t>
      </w:r>
      <w:r w:rsidRPr="00FD33A1">
        <w:rPr>
          <w:rFonts w:ascii="Times New Roman" w:hAnsi="Times New Roman" w:cs="Times New Roman"/>
          <w:noProof/>
        </w:rPr>
        <w:t>(1–2), 107–140.</w:t>
      </w:r>
    </w:p>
    <w:p w14:paraId="73849560"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Pattenden, J. (2016). </w:t>
      </w:r>
      <w:r w:rsidRPr="00FD33A1">
        <w:rPr>
          <w:rFonts w:ascii="Times New Roman" w:hAnsi="Times New Roman" w:cs="Times New Roman"/>
          <w:i/>
          <w:iCs/>
          <w:noProof/>
        </w:rPr>
        <w:t>Labour, state and society in rural India: A class-relational approach</w:t>
      </w:r>
      <w:r w:rsidRPr="00FD33A1">
        <w:rPr>
          <w:rFonts w:ascii="Times New Roman" w:hAnsi="Times New Roman" w:cs="Times New Roman"/>
          <w:noProof/>
        </w:rPr>
        <w:t>. Manchester: Manchester University Press.</w:t>
      </w:r>
    </w:p>
    <w:p w14:paraId="406370BF"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Picherit, D. (2014). Neither a dog nor a beggar: seasonal labour migration, development and poverty in Andhra Pradesh. In N. Gooptu &amp; J. Parry (Eds.), </w:t>
      </w:r>
      <w:r w:rsidRPr="00FD33A1">
        <w:rPr>
          <w:rFonts w:ascii="Times New Roman" w:hAnsi="Times New Roman" w:cs="Times New Roman"/>
          <w:i/>
          <w:iCs/>
          <w:noProof/>
        </w:rPr>
        <w:t>The Persistence of Poverty in India, Social Sciences Press, Nueva Delhi</w:t>
      </w:r>
      <w:r w:rsidRPr="00FD33A1">
        <w:rPr>
          <w:rFonts w:ascii="Times New Roman" w:hAnsi="Times New Roman" w:cs="Times New Roman"/>
          <w:noProof/>
        </w:rPr>
        <w:t xml:space="preserve"> (pp. 261–290). New Delhi: Social Science Press.</w:t>
      </w:r>
    </w:p>
    <w:p w14:paraId="41E9266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Piliavski, A. (2015). </w:t>
      </w:r>
      <w:r w:rsidRPr="00FD33A1">
        <w:rPr>
          <w:rFonts w:ascii="Times New Roman" w:hAnsi="Times New Roman" w:cs="Times New Roman"/>
          <w:i/>
          <w:iCs/>
          <w:noProof/>
        </w:rPr>
        <w:t>Patronage as politics in South Asia</w:t>
      </w:r>
      <w:r w:rsidRPr="00FD33A1">
        <w:rPr>
          <w:rFonts w:ascii="Times New Roman" w:hAnsi="Times New Roman" w:cs="Times New Roman"/>
          <w:noProof/>
        </w:rPr>
        <w:t xml:space="preserve">. (A. Piliavsky, Ed.). Cambridge: </w:t>
      </w:r>
      <w:r w:rsidRPr="00FD33A1">
        <w:rPr>
          <w:rFonts w:ascii="Times New Roman" w:hAnsi="Times New Roman" w:cs="Times New Roman"/>
          <w:noProof/>
        </w:rPr>
        <w:lastRenderedPageBreak/>
        <w:t>Cambridge University Press.</w:t>
      </w:r>
    </w:p>
    <w:p w14:paraId="28722CA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Popkin, S. L. (1979). </w:t>
      </w:r>
      <w:r w:rsidRPr="00FD33A1">
        <w:rPr>
          <w:rFonts w:ascii="Times New Roman" w:hAnsi="Times New Roman" w:cs="Times New Roman"/>
          <w:i/>
          <w:iCs/>
          <w:noProof/>
        </w:rPr>
        <w:t>The rational peasant : the political economy of rural society in Vietnam</w:t>
      </w:r>
      <w:r w:rsidRPr="00FD33A1">
        <w:rPr>
          <w:rFonts w:ascii="Times New Roman" w:hAnsi="Times New Roman" w:cs="Times New Roman"/>
          <w:noProof/>
        </w:rPr>
        <w:t>. University of California Press.</w:t>
      </w:r>
    </w:p>
    <w:p w14:paraId="3F28059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Price, P. (2006). Changing meanings of authority in contemporary rural India. </w:t>
      </w:r>
      <w:r w:rsidRPr="00FD33A1">
        <w:rPr>
          <w:rFonts w:ascii="Times New Roman" w:hAnsi="Times New Roman" w:cs="Times New Roman"/>
          <w:i/>
          <w:iCs/>
          <w:noProof/>
        </w:rPr>
        <w:t>Qualitative Sociology</w:t>
      </w:r>
      <w:r w:rsidRPr="00FD33A1">
        <w:rPr>
          <w:rFonts w:ascii="Times New Roman" w:hAnsi="Times New Roman" w:cs="Times New Roman"/>
          <w:noProof/>
        </w:rPr>
        <w:t xml:space="preserve">, </w:t>
      </w:r>
      <w:r w:rsidRPr="00FD33A1">
        <w:rPr>
          <w:rFonts w:ascii="Times New Roman" w:hAnsi="Times New Roman" w:cs="Times New Roman"/>
          <w:i/>
          <w:iCs/>
          <w:noProof/>
        </w:rPr>
        <w:t>29</w:t>
      </w:r>
      <w:r w:rsidRPr="00FD33A1">
        <w:rPr>
          <w:rFonts w:ascii="Times New Roman" w:hAnsi="Times New Roman" w:cs="Times New Roman"/>
          <w:noProof/>
        </w:rPr>
        <w:t>(3), 301–316.</w:t>
      </w:r>
    </w:p>
    <w:p w14:paraId="7D6A720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Rodgers, G., &amp; Rodgers, J. (2011). Inclusive development? Migration, governance and social change in rural Bihar. </w:t>
      </w:r>
      <w:r w:rsidRPr="00FD33A1">
        <w:rPr>
          <w:rFonts w:ascii="Times New Roman" w:hAnsi="Times New Roman" w:cs="Times New Roman"/>
          <w:i/>
          <w:iCs/>
          <w:noProof/>
        </w:rPr>
        <w:t>Economic and Political Weekly</w:t>
      </w:r>
      <w:r w:rsidRPr="00FD33A1">
        <w:rPr>
          <w:rFonts w:ascii="Times New Roman" w:hAnsi="Times New Roman" w:cs="Times New Roman"/>
          <w:noProof/>
        </w:rPr>
        <w:t>, 43–50.</w:t>
      </w:r>
    </w:p>
    <w:p w14:paraId="77A5550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Roy, I. (2014). Reserve labor, unreserved politics: dignified encroachments under India’s national rural employment guarantee act. </w:t>
      </w:r>
      <w:r w:rsidRPr="00FD33A1">
        <w:rPr>
          <w:rFonts w:ascii="Times New Roman" w:hAnsi="Times New Roman" w:cs="Times New Roman"/>
          <w:i/>
          <w:iCs/>
          <w:noProof/>
        </w:rPr>
        <w:t>The Journal of Peasant Studies</w:t>
      </w:r>
      <w:r w:rsidRPr="00FD33A1">
        <w:rPr>
          <w:rFonts w:ascii="Times New Roman" w:hAnsi="Times New Roman" w:cs="Times New Roman"/>
          <w:noProof/>
        </w:rPr>
        <w:t xml:space="preserve">, </w:t>
      </w:r>
      <w:r w:rsidRPr="00FD33A1">
        <w:rPr>
          <w:rFonts w:ascii="Times New Roman" w:hAnsi="Times New Roman" w:cs="Times New Roman"/>
          <w:i/>
          <w:iCs/>
          <w:noProof/>
        </w:rPr>
        <w:t>41</w:t>
      </w:r>
      <w:r w:rsidRPr="00FD33A1">
        <w:rPr>
          <w:rFonts w:ascii="Times New Roman" w:hAnsi="Times New Roman" w:cs="Times New Roman"/>
          <w:noProof/>
        </w:rPr>
        <w:t>(4), 517–545.</w:t>
      </w:r>
    </w:p>
    <w:p w14:paraId="1CBBC955"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Roy, I. (2015). </w:t>
      </w:r>
      <w:r w:rsidRPr="00FD33A1">
        <w:rPr>
          <w:rFonts w:ascii="Times New Roman" w:hAnsi="Times New Roman" w:cs="Times New Roman"/>
          <w:i/>
          <w:iCs/>
          <w:noProof/>
        </w:rPr>
        <w:t>Class politics and social protection: the implementation of India’s MGNREGA</w:t>
      </w:r>
      <w:r w:rsidRPr="00FD33A1">
        <w:rPr>
          <w:rFonts w:ascii="Times New Roman" w:hAnsi="Times New Roman" w:cs="Times New Roman"/>
          <w:noProof/>
        </w:rPr>
        <w:t xml:space="preserve"> (No. 46). Manchester.</w:t>
      </w:r>
    </w:p>
    <w:p w14:paraId="6B2788FC"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Roy, I. (2018). </w:t>
      </w:r>
      <w:r w:rsidRPr="00FD33A1">
        <w:rPr>
          <w:rFonts w:ascii="Times New Roman" w:hAnsi="Times New Roman" w:cs="Times New Roman"/>
          <w:i/>
          <w:iCs/>
          <w:noProof/>
        </w:rPr>
        <w:t>Politics of the poor : negotiating democracy in contemporary India</w:t>
      </w:r>
      <w:r w:rsidRPr="00FD33A1">
        <w:rPr>
          <w:rFonts w:ascii="Times New Roman" w:hAnsi="Times New Roman" w:cs="Times New Roman"/>
          <w:noProof/>
        </w:rPr>
        <w:t>. Cambridge: Cambridge University Press.</w:t>
      </w:r>
    </w:p>
    <w:p w14:paraId="66BF13D8"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Roy, I. (2020). Class Coalitions and Social Protection: The Labouring Classes and the National Rural Employment Guarantee Act in Eastern India. </w:t>
      </w:r>
      <w:r w:rsidRPr="00FD33A1">
        <w:rPr>
          <w:rFonts w:ascii="Times New Roman" w:hAnsi="Times New Roman" w:cs="Times New Roman"/>
          <w:i/>
          <w:iCs/>
          <w:noProof/>
        </w:rPr>
        <w:t>Journal of Development Studies</w:t>
      </w:r>
      <w:r w:rsidRPr="00FD33A1">
        <w:rPr>
          <w:rFonts w:ascii="Times New Roman" w:hAnsi="Times New Roman" w:cs="Times New Roman"/>
          <w:noProof/>
        </w:rPr>
        <w:t xml:space="preserve">, </w:t>
      </w:r>
      <w:r w:rsidRPr="00FD33A1">
        <w:rPr>
          <w:rFonts w:ascii="Times New Roman" w:hAnsi="Times New Roman" w:cs="Times New Roman"/>
          <w:i/>
          <w:iCs/>
          <w:noProof/>
        </w:rPr>
        <w:t>00</w:t>
      </w:r>
      <w:r w:rsidRPr="00FD33A1">
        <w:rPr>
          <w:rFonts w:ascii="Times New Roman" w:hAnsi="Times New Roman" w:cs="Times New Roman"/>
          <w:noProof/>
        </w:rPr>
        <w:t>(00), 1–18.</w:t>
      </w:r>
    </w:p>
    <w:p w14:paraId="4B693FAD"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Saunders, P. (2006). </w:t>
      </w:r>
      <w:r w:rsidRPr="00FD33A1">
        <w:rPr>
          <w:rFonts w:ascii="Times New Roman" w:hAnsi="Times New Roman" w:cs="Times New Roman"/>
          <w:i/>
          <w:iCs/>
          <w:noProof/>
        </w:rPr>
        <w:t>Social class and stratification</w:t>
      </w:r>
      <w:r w:rsidRPr="00FD33A1">
        <w:rPr>
          <w:rFonts w:ascii="Times New Roman" w:hAnsi="Times New Roman" w:cs="Times New Roman"/>
          <w:noProof/>
        </w:rPr>
        <w:t>. Routledge.</w:t>
      </w:r>
    </w:p>
    <w:p w14:paraId="1FBCB381"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Scott, J. (1985). </w:t>
      </w:r>
      <w:r w:rsidRPr="00FD33A1">
        <w:rPr>
          <w:rFonts w:ascii="Times New Roman" w:hAnsi="Times New Roman" w:cs="Times New Roman"/>
          <w:i/>
          <w:iCs/>
          <w:noProof/>
        </w:rPr>
        <w:t>C.,(1985) Weapons of the Weak: Everyday Forms of Peasant Resistance</w:t>
      </w:r>
      <w:r w:rsidRPr="00FD33A1">
        <w:rPr>
          <w:rFonts w:ascii="Times New Roman" w:hAnsi="Times New Roman" w:cs="Times New Roman"/>
          <w:noProof/>
        </w:rPr>
        <w:t>. New Haven: Yale University Press.</w:t>
      </w:r>
    </w:p>
    <w:p w14:paraId="253F25AB"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Scott, J. (1990). </w:t>
      </w:r>
      <w:r w:rsidRPr="00FD33A1">
        <w:rPr>
          <w:rFonts w:ascii="Times New Roman" w:hAnsi="Times New Roman" w:cs="Times New Roman"/>
          <w:i/>
          <w:iCs/>
          <w:noProof/>
        </w:rPr>
        <w:t>Hidden transcripts: domination and the arts of resistance</w:t>
      </w:r>
      <w:r w:rsidRPr="00FD33A1">
        <w:rPr>
          <w:rFonts w:ascii="Times New Roman" w:hAnsi="Times New Roman" w:cs="Times New Roman"/>
          <w:noProof/>
        </w:rPr>
        <w:t>. New Haven: Yale University Press.</w:t>
      </w:r>
    </w:p>
    <w:p w14:paraId="0294E7BE"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Sheth, D. L. (1999). Secularisation of Caste and Making of New Middle Class. </w:t>
      </w:r>
      <w:r w:rsidRPr="00FD33A1">
        <w:rPr>
          <w:rFonts w:ascii="Times New Roman" w:hAnsi="Times New Roman" w:cs="Times New Roman"/>
          <w:i/>
          <w:iCs/>
          <w:noProof/>
        </w:rPr>
        <w:t>Economic and Political Weekly</w:t>
      </w:r>
      <w:r w:rsidRPr="00FD33A1">
        <w:rPr>
          <w:rFonts w:ascii="Times New Roman" w:hAnsi="Times New Roman" w:cs="Times New Roman"/>
          <w:noProof/>
        </w:rPr>
        <w:t xml:space="preserve">, </w:t>
      </w:r>
      <w:r w:rsidRPr="00FD33A1">
        <w:rPr>
          <w:rFonts w:ascii="Times New Roman" w:hAnsi="Times New Roman" w:cs="Times New Roman"/>
          <w:i/>
          <w:iCs/>
          <w:noProof/>
        </w:rPr>
        <w:t>34</w:t>
      </w:r>
      <w:r w:rsidRPr="00FD33A1">
        <w:rPr>
          <w:rFonts w:ascii="Times New Roman" w:hAnsi="Times New Roman" w:cs="Times New Roman"/>
          <w:noProof/>
        </w:rPr>
        <w:t>(34/35), 2502–2510.</w:t>
      </w:r>
    </w:p>
    <w:p w14:paraId="258B169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Sitaramayya, B. P. (1946). </w:t>
      </w:r>
      <w:r w:rsidRPr="00FD33A1">
        <w:rPr>
          <w:rFonts w:ascii="Times New Roman" w:hAnsi="Times New Roman" w:cs="Times New Roman"/>
          <w:i/>
          <w:iCs/>
          <w:noProof/>
        </w:rPr>
        <w:t>History of the Indian National Congress, vol. I 1885-1935</w:t>
      </w:r>
      <w:r w:rsidRPr="00FD33A1">
        <w:rPr>
          <w:rFonts w:ascii="Times New Roman" w:hAnsi="Times New Roman" w:cs="Times New Roman"/>
          <w:noProof/>
        </w:rPr>
        <w:t>. Bombay: Padma Publications.</w:t>
      </w:r>
    </w:p>
    <w:p w14:paraId="63EEDCB9"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Srinivas, M. N. (1959). The dominant caste in Rampura. </w:t>
      </w:r>
      <w:r w:rsidRPr="00FD33A1">
        <w:rPr>
          <w:rFonts w:ascii="Times New Roman" w:hAnsi="Times New Roman" w:cs="Times New Roman"/>
          <w:i/>
          <w:iCs/>
          <w:noProof/>
        </w:rPr>
        <w:t>American Anthropologist</w:t>
      </w:r>
      <w:r w:rsidRPr="00FD33A1">
        <w:rPr>
          <w:rFonts w:ascii="Times New Roman" w:hAnsi="Times New Roman" w:cs="Times New Roman"/>
          <w:noProof/>
        </w:rPr>
        <w:t xml:space="preserve">, </w:t>
      </w:r>
      <w:r w:rsidRPr="00FD33A1">
        <w:rPr>
          <w:rFonts w:ascii="Times New Roman" w:hAnsi="Times New Roman" w:cs="Times New Roman"/>
          <w:i/>
          <w:iCs/>
          <w:noProof/>
        </w:rPr>
        <w:t>61</w:t>
      </w:r>
      <w:r w:rsidRPr="00FD33A1">
        <w:rPr>
          <w:rFonts w:ascii="Times New Roman" w:hAnsi="Times New Roman" w:cs="Times New Roman"/>
          <w:noProof/>
        </w:rPr>
        <w:t>(1), 1–16.</w:t>
      </w:r>
    </w:p>
    <w:p w14:paraId="5D96A0B0"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Subramanian, S. (2012). </w:t>
      </w:r>
      <w:r w:rsidRPr="00FD33A1">
        <w:rPr>
          <w:rFonts w:ascii="Times New Roman" w:hAnsi="Times New Roman" w:cs="Times New Roman"/>
          <w:i/>
          <w:iCs/>
          <w:noProof/>
        </w:rPr>
        <w:t>The Poverty Line</w:t>
      </w:r>
      <w:r w:rsidRPr="00FD33A1">
        <w:rPr>
          <w:rFonts w:ascii="Times New Roman" w:hAnsi="Times New Roman" w:cs="Times New Roman"/>
          <w:noProof/>
        </w:rPr>
        <w:t>. New Delhi: Oxford University Press.</w:t>
      </w:r>
    </w:p>
    <w:p w14:paraId="769F66F6"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Teltumbde, A. (2011). Dalit capitalism and pseudo dalitism. </w:t>
      </w:r>
      <w:r w:rsidRPr="00FD33A1">
        <w:rPr>
          <w:rFonts w:ascii="Times New Roman" w:hAnsi="Times New Roman" w:cs="Times New Roman"/>
          <w:i/>
          <w:iCs/>
          <w:noProof/>
        </w:rPr>
        <w:t>Economic and Political Weekly</w:t>
      </w:r>
      <w:r w:rsidRPr="00FD33A1">
        <w:rPr>
          <w:rFonts w:ascii="Times New Roman" w:hAnsi="Times New Roman" w:cs="Times New Roman"/>
          <w:noProof/>
        </w:rPr>
        <w:t>.</w:t>
      </w:r>
    </w:p>
    <w:p w14:paraId="5C3DE234"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Vaid, D. (2014). Caste in contemporary India: Flexibility and persistence. </w:t>
      </w:r>
      <w:r w:rsidRPr="00FD33A1">
        <w:rPr>
          <w:rFonts w:ascii="Times New Roman" w:hAnsi="Times New Roman" w:cs="Times New Roman"/>
          <w:i/>
          <w:iCs/>
          <w:noProof/>
        </w:rPr>
        <w:t>Annual Review of Sociology</w:t>
      </w:r>
      <w:r w:rsidRPr="00FD33A1">
        <w:rPr>
          <w:rFonts w:ascii="Times New Roman" w:hAnsi="Times New Roman" w:cs="Times New Roman"/>
          <w:noProof/>
        </w:rPr>
        <w:t>.</w:t>
      </w:r>
    </w:p>
    <w:p w14:paraId="4D1BC207"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t xml:space="preserve">Verma, A. K. (2005). Backward Caste Politics in Uttar Pradesh. </w:t>
      </w:r>
      <w:r w:rsidRPr="00FD33A1">
        <w:rPr>
          <w:rFonts w:ascii="Times New Roman" w:hAnsi="Times New Roman" w:cs="Times New Roman"/>
          <w:i/>
          <w:iCs/>
          <w:noProof/>
        </w:rPr>
        <w:t>Economic and Political Weekly</w:t>
      </w:r>
      <w:r w:rsidRPr="00FD33A1">
        <w:rPr>
          <w:rFonts w:ascii="Times New Roman" w:hAnsi="Times New Roman" w:cs="Times New Roman"/>
          <w:noProof/>
        </w:rPr>
        <w:t>, 3889–3892.</w:t>
      </w:r>
    </w:p>
    <w:p w14:paraId="3CEF57EA" w14:textId="77777777" w:rsidR="00336945" w:rsidRPr="00FD33A1" w:rsidRDefault="00336945" w:rsidP="00CF2606">
      <w:pPr>
        <w:widowControl w:val="0"/>
        <w:autoSpaceDE w:val="0"/>
        <w:autoSpaceDN w:val="0"/>
        <w:adjustRightInd w:val="0"/>
        <w:spacing w:line="360" w:lineRule="auto"/>
        <w:ind w:left="480" w:hanging="480"/>
        <w:rPr>
          <w:rFonts w:ascii="Times New Roman" w:hAnsi="Times New Roman" w:cs="Times New Roman"/>
          <w:noProof/>
        </w:rPr>
      </w:pPr>
      <w:r w:rsidRPr="00FD33A1">
        <w:rPr>
          <w:rFonts w:ascii="Times New Roman" w:hAnsi="Times New Roman" w:cs="Times New Roman"/>
          <w:noProof/>
        </w:rPr>
        <w:lastRenderedPageBreak/>
        <w:t xml:space="preserve">White, C. P. (1986). Everyday resistance, socialist revolution and rural development: the Vietnamese case. </w:t>
      </w:r>
      <w:r w:rsidRPr="00FD33A1">
        <w:rPr>
          <w:rFonts w:ascii="Times New Roman" w:hAnsi="Times New Roman" w:cs="Times New Roman"/>
          <w:i/>
          <w:iCs/>
          <w:noProof/>
        </w:rPr>
        <w:t>The Journal of Peasant Studies</w:t>
      </w:r>
      <w:r w:rsidRPr="00FD33A1">
        <w:rPr>
          <w:rFonts w:ascii="Times New Roman" w:hAnsi="Times New Roman" w:cs="Times New Roman"/>
          <w:noProof/>
        </w:rPr>
        <w:t xml:space="preserve">, </w:t>
      </w:r>
      <w:r w:rsidRPr="00FD33A1">
        <w:rPr>
          <w:rFonts w:ascii="Times New Roman" w:hAnsi="Times New Roman" w:cs="Times New Roman"/>
          <w:i/>
          <w:iCs/>
          <w:noProof/>
        </w:rPr>
        <w:t>13</w:t>
      </w:r>
      <w:r w:rsidRPr="00FD33A1">
        <w:rPr>
          <w:rFonts w:ascii="Times New Roman" w:hAnsi="Times New Roman" w:cs="Times New Roman"/>
          <w:noProof/>
        </w:rPr>
        <w:t>(2), 49–63.</w:t>
      </w:r>
    </w:p>
    <w:p w14:paraId="58BEE469" w14:textId="24C6D02B" w:rsidR="00C828D3" w:rsidRPr="00FD33A1" w:rsidRDefault="00336945" w:rsidP="009A5798">
      <w:pPr>
        <w:widowControl w:val="0"/>
        <w:autoSpaceDE w:val="0"/>
        <w:autoSpaceDN w:val="0"/>
        <w:adjustRightInd w:val="0"/>
        <w:spacing w:line="360" w:lineRule="auto"/>
        <w:rPr>
          <w:rFonts w:ascii="Times New Roman" w:hAnsi="Times New Roman" w:cs="Times New Roman"/>
        </w:rPr>
      </w:pPr>
      <w:r w:rsidRPr="00FD33A1">
        <w:rPr>
          <w:rFonts w:ascii="Times New Roman" w:hAnsi="Times New Roman" w:cs="Times New Roman"/>
          <w:color w:val="000000" w:themeColor="text1"/>
        </w:rPr>
        <w:fldChar w:fldCharType="end"/>
      </w:r>
    </w:p>
    <w:sectPr w:rsidR="00C828D3" w:rsidRPr="00FD33A1" w:rsidSect="00504C4D">
      <w:headerReference w:type="default" r:id="rId9"/>
      <w:footerReference w:type="even" r:id="rId10"/>
      <w:footerReference w:type="default" r:id="rId11"/>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5A172" w14:textId="77777777" w:rsidR="00BC0D1F" w:rsidRDefault="00BC0D1F" w:rsidP="00504C4D">
      <w:r>
        <w:separator/>
      </w:r>
    </w:p>
  </w:endnote>
  <w:endnote w:type="continuationSeparator" w:id="0">
    <w:p w14:paraId="577F5D70" w14:textId="77777777" w:rsidR="00BC0D1F" w:rsidRDefault="00BC0D1F" w:rsidP="00504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EPWCharter">
    <w:altName w:val="Cambria"/>
    <w:panose1 w:val="020B06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586994564"/>
      <w:docPartObj>
        <w:docPartGallery w:val="Page Numbers (Bottom of Page)"/>
        <w:docPartUnique/>
      </w:docPartObj>
    </w:sdtPr>
    <w:sdtEndPr>
      <w:rPr>
        <w:rStyle w:val="Numeropagina"/>
      </w:rPr>
    </w:sdtEndPr>
    <w:sdtContent>
      <w:p w14:paraId="5475076C" w14:textId="77777777" w:rsidR="003C31C2" w:rsidRDefault="003C31C2" w:rsidP="00504C4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8AAA622" w14:textId="77777777" w:rsidR="003C31C2" w:rsidRDefault="003C31C2" w:rsidP="00504C4D">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244931389"/>
      <w:docPartObj>
        <w:docPartGallery w:val="Page Numbers (Bottom of Page)"/>
        <w:docPartUnique/>
      </w:docPartObj>
    </w:sdtPr>
    <w:sdtEndPr>
      <w:rPr>
        <w:rStyle w:val="Numeropagina"/>
      </w:rPr>
    </w:sdtEndPr>
    <w:sdtContent>
      <w:p w14:paraId="5C8B8671" w14:textId="77777777" w:rsidR="003C31C2" w:rsidRDefault="003C31C2" w:rsidP="00504C4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19</w:t>
        </w:r>
        <w:r>
          <w:rPr>
            <w:rStyle w:val="Numeropagina"/>
          </w:rPr>
          <w:fldChar w:fldCharType="end"/>
        </w:r>
      </w:p>
    </w:sdtContent>
  </w:sdt>
  <w:p w14:paraId="6FB178D6" w14:textId="77777777" w:rsidR="003C31C2" w:rsidRDefault="003C31C2" w:rsidP="00504C4D">
    <w:pPr>
      <w:pStyle w:val="Pidipagina"/>
      <w:ind w:right="360"/>
      <w:jc w:val="right"/>
    </w:pPr>
  </w:p>
  <w:p w14:paraId="06759724" w14:textId="77777777" w:rsidR="003C31C2" w:rsidRDefault="003C31C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D644E" w14:textId="77777777" w:rsidR="00BC0D1F" w:rsidRDefault="00BC0D1F" w:rsidP="00504C4D">
      <w:r>
        <w:separator/>
      </w:r>
    </w:p>
  </w:footnote>
  <w:footnote w:type="continuationSeparator" w:id="0">
    <w:p w14:paraId="2B16D68E" w14:textId="77777777" w:rsidR="00BC0D1F" w:rsidRDefault="00BC0D1F" w:rsidP="00504C4D">
      <w:r>
        <w:continuationSeparator/>
      </w:r>
    </w:p>
  </w:footnote>
  <w:footnote w:id="1">
    <w:p w14:paraId="102E69CB"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Data taken from the World Development Indicators. The figures refer to the poverty headcount ratio at 1.90$/day PPP. It should be noted that poverty figures have been heavily contested, see </w:t>
      </w:r>
      <w:r w:rsidRPr="00CF2606">
        <w:rPr>
          <w:rFonts w:ascii="Times New Roman" w:hAnsi="Times New Roman" w:cs="Times New Roman"/>
          <w:sz w:val="22"/>
          <w:szCs w:val="22"/>
        </w:rPr>
        <w:fldChar w:fldCharType="begin" w:fldLock="1"/>
      </w:r>
      <w:r w:rsidRPr="00CF2606">
        <w:rPr>
          <w:rFonts w:ascii="Times New Roman" w:hAnsi="Times New Roman" w:cs="Times New Roman"/>
          <w:sz w:val="22"/>
          <w:szCs w:val="22"/>
        </w:rPr>
        <w:instrText>ADDIN CSL_CITATION {"citationItems":[{"id":"ITEM-1","itemData":{"author":[{"dropping-particle":"","family":"Subramanian","given":"S","non-dropping-particle":"","parse-names":false,"suffix":""}],"id":"ITEM-1","issued":{"date-parts":[["2012"]]},"publisher":"Oxford University Press","publisher-place":"New Delhi","title":"The Poverty Line","type":"book"},"uris":["http://www.mendeley.com/documents/?uuid=da1ad7ef-e04f-4d12-8d0b-0cc527e89723"]}],"mendeley":{"formattedCitation":"(Subramanian, 2012)","plainTextFormattedCitation":"(Subramanian, 2012)","previouslyFormattedCitation":"(Subramanian, 2012)"},"properties":{"noteIndex":0},"schema":"https://github.com/citation-style-language/schema/raw/master/csl-citation.json"}</w:instrText>
      </w:r>
      <w:r w:rsidRPr="00CF2606">
        <w:rPr>
          <w:rFonts w:ascii="Times New Roman" w:hAnsi="Times New Roman" w:cs="Times New Roman"/>
          <w:sz w:val="22"/>
          <w:szCs w:val="22"/>
        </w:rPr>
        <w:fldChar w:fldCharType="separate"/>
      </w:r>
      <w:r w:rsidRPr="00CF2606">
        <w:rPr>
          <w:rFonts w:ascii="Times New Roman" w:hAnsi="Times New Roman" w:cs="Times New Roman"/>
          <w:noProof/>
          <w:sz w:val="22"/>
          <w:szCs w:val="22"/>
        </w:rPr>
        <w:t>(Subramanian, 2012)</w:t>
      </w:r>
      <w:r w:rsidRPr="00CF2606">
        <w:rPr>
          <w:rFonts w:ascii="Times New Roman" w:hAnsi="Times New Roman" w:cs="Times New Roman"/>
          <w:sz w:val="22"/>
          <w:szCs w:val="22"/>
        </w:rPr>
        <w:fldChar w:fldCharType="end"/>
      </w:r>
      <w:r w:rsidRPr="00CF2606">
        <w:rPr>
          <w:rFonts w:ascii="Times New Roman" w:hAnsi="Times New Roman" w:cs="Times New Roman"/>
          <w:sz w:val="22"/>
          <w:szCs w:val="22"/>
        </w:rPr>
        <w:t xml:space="preserve">. Furthermore, the headcount ratio at 3.20$/day PPP was as high as 58 per cent of the population in 2012. </w:t>
      </w:r>
    </w:p>
  </w:footnote>
  <w:footnote w:id="2">
    <w:p w14:paraId="5F9D4651" w14:textId="77777777" w:rsidR="003C31C2" w:rsidRPr="00CF2606" w:rsidRDefault="003C31C2" w:rsidP="00504C4D">
      <w:pPr>
        <w:autoSpaceDE w:val="0"/>
        <w:autoSpaceDN w:val="0"/>
        <w:adjustRightInd w:val="0"/>
        <w:rPr>
          <w:rFonts w:ascii="Times New Roman" w:eastAsiaTheme="minorHAnsi" w:hAnsi="Times New Roman" w:cs="Times New Roman"/>
          <w:sz w:val="22"/>
          <w:szCs w:val="22"/>
          <w:lang w:val="en-US"/>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w:t>
      </w:r>
      <w:r w:rsidRPr="00CF2606">
        <w:rPr>
          <w:rFonts w:ascii="Times New Roman" w:eastAsiaTheme="minorHAnsi" w:hAnsi="Times New Roman" w:cs="Times New Roman"/>
          <w:sz w:val="22"/>
          <w:szCs w:val="22"/>
          <w:lang w:val="en-US"/>
        </w:rPr>
        <w:t>Dalit means ‘broken’. Dalits are also referred as Scheduled Castes (SC), which is the term used in the Indian constitution.</w:t>
      </w:r>
    </w:p>
  </w:footnote>
  <w:footnote w:id="3">
    <w:p w14:paraId="2F9F8CC2"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This extends to the business sector as well. In 2005, the Dalit Indian Chamber of Commerce was founded, to promote Dalit entrepreneurship.</w:t>
      </w:r>
    </w:p>
  </w:footnote>
  <w:footnote w:id="4">
    <w:p w14:paraId="16E7C792" w14:textId="77777777" w:rsidR="003C31C2" w:rsidRPr="00CF2606" w:rsidRDefault="003C31C2" w:rsidP="00504C4D">
      <w:pPr>
        <w:autoSpaceDE w:val="0"/>
        <w:autoSpaceDN w:val="0"/>
        <w:adjustRightInd w:val="0"/>
        <w:rPr>
          <w:rFonts w:ascii="Times New Roman" w:eastAsiaTheme="minorHAnsi" w:hAnsi="Times New Roman" w:cs="Times New Roman"/>
          <w:sz w:val="22"/>
          <w:szCs w:val="22"/>
          <w:lang w:val="en-US"/>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Following post-independence land reforms, zamindari abolition and the ‘</w:t>
      </w:r>
      <w:r w:rsidRPr="00CF2606">
        <w:rPr>
          <w:rFonts w:ascii="Times New Roman" w:hAnsi="Times New Roman" w:cs="Times New Roman"/>
          <w:sz w:val="22"/>
          <w:szCs w:val="22"/>
        </w:rPr>
        <w:t xml:space="preserve">bhoodan movement’, we see the emergence of a strata of neo-rich Backward castes (the middle peasant) such as the </w:t>
      </w:r>
      <w:r w:rsidRPr="00CF2606">
        <w:rPr>
          <w:rFonts w:ascii="Times New Roman" w:eastAsiaTheme="minorHAnsi" w:hAnsi="Times New Roman" w:cs="Times New Roman"/>
          <w:sz w:val="22"/>
          <w:szCs w:val="22"/>
          <w:lang w:val="en-US"/>
        </w:rPr>
        <w:t xml:space="preserve">Jats, Yadavs, Kurmis, Koiris in the Northern states of India. In AP, the caste structure is not so </w:t>
      </w:r>
      <w:r w:rsidRPr="00CF2606">
        <w:rPr>
          <w:rFonts w:ascii="Times New Roman" w:eastAsiaTheme="minorHAnsi" w:hAnsi="Times New Roman" w:cs="Times New Roman"/>
          <w:sz w:val="22"/>
          <w:szCs w:val="22"/>
          <w:lang w:val="en-US"/>
        </w:rPr>
        <w:t>complex and the landowning dominant castes are in the great majority of cases either Reddys or Kammas.</w:t>
      </w:r>
    </w:p>
  </w:footnote>
  <w:footnote w:id="5">
    <w:p w14:paraId="54DFDE64" w14:textId="77777777" w:rsidR="003C31C2" w:rsidRPr="00CF2606" w:rsidRDefault="003C31C2" w:rsidP="00504C4D">
      <w:pPr>
        <w:pStyle w:val="Testonotaapidipagina"/>
        <w:rPr>
          <w:rFonts w:ascii="Times New Roman" w:hAnsi="Times New Roman" w:cs="Times New Roman"/>
          <w:sz w:val="22"/>
          <w:szCs w:val="22"/>
          <w:lang w:val="en-US"/>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t>
      </w:r>
      <w:r w:rsidRPr="00CF2606">
        <w:rPr>
          <w:rFonts w:ascii="Times New Roman" w:hAnsi="Times New Roman" w:cs="Times New Roman"/>
          <w:sz w:val="22"/>
          <w:szCs w:val="22"/>
          <w:lang w:val="en-US"/>
        </w:rPr>
        <w:t>This is largely true at the national level as well. See Desai and Dubey (2012).</w:t>
      </w:r>
    </w:p>
  </w:footnote>
  <w:footnote w:id="6">
    <w:p w14:paraId="2B637E91"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t>
      </w:r>
      <w:r w:rsidRPr="00CF2606">
        <w:rPr>
          <w:rFonts w:ascii="Times New Roman" w:hAnsi="Times New Roman" w:cs="Times New Roman"/>
          <w:color w:val="000000" w:themeColor="text1"/>
          <w:sz w:val="22"/>
          <w:szCs w:val="22"/>
        </w:rPr>
        <w:t xml:space="preserve">The </w:t>
      </w:r>
      <w:r w:rsidRPr="00CF2606">
        <w:rPr>
          <w:rFonts w:ascii="Times New Roman" w:hAnsi="Times New Roman" w:cs="Times New Roman"/>
          <w:i/>
          <w:color w:val="000000" w:themeColor="text1"/>
          <w:sz w:val="22"/>
          <w:szCs w:val="22"/>
        </w:rPr>
        <w:t>jajmani</w:t>
      </w:r>
      <w:r w:rsidRPr="00CF2606">
        <w:rPr>
          <w:rFonts w:ascii="Times New Roman" w:hAnsi="Times New Roman" w:cs="Times New Roman"/>
          <w:color w:val="000000" w:themeColor="text1"/>
          <w:sz w:val="22"/>
          <w:szCs w:val="22"/>
        </w:rPr>
        <w:t xml:space="preserve"> system structured relations between different castes in a village, whereby caste specialising in one particular occupation would provide services to other castes (especially dominant ones) in exchange for yearly in-kind payments. The declining importance of the </w:t>
      </w:r>
      <w:r w:rsidRPr="00CF2606">
        <w:rPr>
          <w:rFonts w:ascii="Times New Roman" w:hAnsi="Times New Roman" w:cs="Times New Roman"/>
          <w:i/>
          <w:color w:val="000000" w:themeColor="text1"/>
          <w:sz w:val="22"/>
          <w:szCs w:val="22"/>
        </w:rPr>
        <w:t>jajmani</w:t>
      </w:r>
      <w:r w:rsidRPr="00CF2606">
        <w:rPr>
          <w:rFonts w:ascii="Times New Roman" w:hAnsi="Times New Roman" w:cs="Times New Roman"/>
          <w:color w:val="000000" w:themeColor="text1"/>
          <w:sz w:val="22"/>
          <w:szCs w:val="22"/>
        </w:rPr>
        <w:t xml:space="preserve"> is not a recent trend, but its almost complete disappearance is.</w:t>
      </w:r>
    </w:p>
  </w:footnote>
  <w:footnote w:id="7">
    <w:p w14:paraId="22FB4B28"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Mandals and blocks are sub-district administrative units in the two states. We do not provide the name of the villages where we conducted the interviews to protect the anonymity of the research participants.</w:t>
      </w:r>
    </w:p>
  </w:footnote>
  <w:footnote w:id="8">
    <w:p w14:paraId="1D7F0624" w14:textId="77777777" w:rsidR="003C31C2" w:rsidRPr="00CF2606" w:rsidRDefault="003C31C2" w:rsidP="00504C4D">
      <w:pPr>
        <w:pStyle w:val="Testonotaapidipagina"/>
        <w:rPr>
          <w:rFonts w:ascii="Times New Roman" w:hAnsi="Times New Roman" w:cs="Times New Roman"/>
          <w:color w:val="000000" w:themeColor="text1"/>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As recorded by the National Crime Records Bureau, Ministry of Home Affairs (ncrb.gov.in). As we are aware that low recorded crime against SCs could be due to police biases against them, we triangulated official data with qualitative evidence on the history of caste relations in the area.</w:t>
      </w:r>
    </w:p>
  </w:footnote>
  <w:footnote w:id="9">
    <w:p w14:paraId="74A7D9D1"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We interviewed at least one member of all the households that were present in the village when we conducted the fieldwork.</w:t>
      </w:r>
    </w:p>
  </w:footnote>
  <w:footnote w:id="10">
    <w:p w14:paraId="76E03F8B" w14:textId="5B0E03A9" w:rsidR="003C31C2" w:rsidRPr="00CF2606" w:rsidRDefault="003C31C2" w:rsidP="00504C4D">
      <w:pPr>
        <w:autoSpaceDE w:val="0"/>
        <w:autoSpaceDN w:val="0"/>
        <w:adjustRightInd w:val="0"/>
        <w:jc w:val="both"/>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The MGNREGA is India’s (and the world’s) largest rural employment programme (Khera, 2011). The MGNREGA confers to every household living in rural areas the ‘right’ to be employed in unskilled manual labour on public works for ‘not less than 100 days’, in each financial year, and to be paid a statutory minimum wage, which will be equal for men and women (NREGA Act 2005). One of the key objectives of the Act is </w:t>
      </w:r>
      <w:r>
        <w:rPr>
          <w:rFonts w:ascii="Times New Roman" w:hAnsi="Times New Roman" w:cs="Times New Roman"/>
          <w:sz w:val="22"/>
          <w:szCs w:val="22"/>
        </w:rPr>
        <w:t>‘</w:t>
      </w:r>
      <w:r w:rsidRPr="00CF2606">
        <w:rPr>
          <w:rFonts w:ascii="Times New Roman" w:hAnsi="Times New Roman" w:cs="Times New Roman"/>
          <w:sz w:val="22"/>
          <w:szCs w:val="22"/>
        </w:rPr>
        <w:t>aiding in the empowerment of the marginalised communities, especially women, Scheduled Castes (SCs) and Scheduled Tribes (STs)</w:t>
      </w:r>
      <w:r>
        <w:rPr>
          <w:rFonts w:ascii="Times New Roman" w:hAnsi="Times New Roman" w:cs="Times New Roman"/>
          <w:sz w:val="22"/>
          <w:szCs w:val="22"/>
        </w:rPr>
        <w:t>’</w:t>
      </w:r>
      <w:r w:rsidRPr="00CF2606">
        <w:rPr>
          <w:rFonts w:ascii="Times New Roman" w:hAnsi="Times New Roman" w:cs="Times New Roman"/>
          <w:sz w:val="22"/>
          <w:szCs w:val="22"/>
        </w:rPr>
        <w:t xml:space="preserve">, two social groups that are relationally marginalised and disempowered within India’s social stratification (Mendelsohn &amp; </w:t>
      </w:r>
      <w:r w:rsidRPr="00CF2606">
        <w:rPr>
          <w:rFonts w:ascii="Times New Roman" w:hAnsi="Times New Roman" w:cs="Times New Roman"/>
          <w:sz w:val="22"/>
          <w:szCs w:val="22"/>
        </w:rPr>
        <w:t>Vicziany, 1998). In other words, NREGA is one of the main social assistance policies in India strengthening the position of the poor.</w:t>
      </w:r>
    </w:p>
  </w:footnote>
  <w:footnote w:id="11">
    <w:p w14:paraId="13F2BCDF"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For an excellent overview of the main paradigms on the study of everyday forms of resistance by the poor, see </w:t>
      </w:r>
      <w:r w:rsidRPr="00CF2606">
        <w:rPr>
          <w:rFonts w:ascii="Times New Roman" w:hAnsi="Times New Roman" w:cs="Times New Roman"/>
          <w:sz w:val="22"/>
          <w:szCs w:val="22"/>
        </w:rPr>
        <w:t xml:space="preserve">Bayat, 2013, chp. 2.2. </w:t>
      </w:r>
    </w:p>
  </w:footnote>
  <w:footnote w:id="12">
    <w:p w14:paraId="624476C6" w14:textId="77777777" w:rsidR="003C31C2" w:rsidRPr="00CF2606" w:rsidRDefault="003C31C2" w:rsidP="00504C4D">
      <w:pPr>
        <w:pStyle w:val="Testonotaapidipagina"/>
        <w:rPr>
          <w:rFonts w:ascii="Times New Roman" w:hAnsi="Times New Roman" w:cs="Times New Roman"/>
          <w:sz w:val="22"/>
          <w:szCs w:val="22"/>
          <w:lang w:val="en-US"/>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t>
      </w:r>
      <w:r w:rsidRPr="00CF2606">
        <w:rPr>
          <w:rFonts w:ascii="Times New Roman" w:hAnsi="Times New Roman" w:cs="Times New Roman"/>
          <w:sz w:val="22"/>
          <w:szCs w:val="22"/>
          <w:lang w:val="en-US"/>
        </w:rPr>
        <w:t xml:space="preserve">See an editorial by economist Seema Jayachandran in </w:t>
      </w:r>
      <w:r w:rsidRPr="00CF2606">
        <w:rPr>
          <w:rFonts w:ascii="Times New Roman" w:hAnsi="Times New Roman" w:cs="Times New Roman"/>
          <w:i/>
          <w:sz w:val="22"/>
          <w:szCs w:val="22"/>
          <w:lang w:val="en-US"/>
        </w:rPr>
        <w:t>The New York Times</w:t>
      </w:r>
      <w:r w:rsidRPr="00CF2606">
        <w:rPr>
          <w:rFonts w:ascii="Times New Roman" w:hAnsi="Times New Roman" w:cs="Times New Roman"/>
          <w:sz w:val="22"/>
          <w:szCs w:val="22"/>
          <w:lang w:val="en-US"/>
        </w:rPr>
        <w:t xml:space="preserve">, 13 July 2018, available here: </w:t>
      </w:r>
      <w:hyperlink r:id="rId1" w:history="1">
        <w:r w:rsidRPr="00CF2606">
          <w:rPr>
            <w:rStyle w:val="Collegamentoipertestuale"/>
            <w:rFonts w:ascii="Times New Roman" w:hAnsi="Times New Roman" w:cs="Times New Roman"/>
            <w:sz w:val="22"/>
            <w:szCs w:val="22"/>
            <w:lang w:val="en-US"/>
          </w:rPr>
          <w:t>https://www.nytimes.com/2018/07/13/business/think-positive-climb-out-of-poverty-it-just-might-work.html</w:t>
        </w:r>
      </w:hyperlink>
      <w:r w:rsidRPr="00CF2606">
        <w:rPr>
          <w:rFonts w:ascii="Times New Roman" w:hAnsi="Times New Roman" w:cs="Times New Roman"/>
          <w:sz w:val="22"/>
          <w:szCs w:val="22"/>
          <w:lang w:val="en-US"/>
        </w:rPr>
        <w:t xml:space="preserve">. </w:t>
      </w:r>
    </w:p>
  </w:footnote>
  <w:footnote w:id="13">
    <w:p w14:paraId="778D79DF" w14:textId="15CED482" w:rsidR="003C31C2" w:rsidRPr="00CF2606" w:rsidRDefault="003C31C2" w:rsidP="00504C4D">
      <w:pPr>
        <w:pStyle w:val="Testonotaapidipagina"/>
        <w:jc w:val="both"/>
        <w:rPr>
          <w:rFonts w:ascii="Times New Roman" w:hAnsi="Times New Roman" w:cs="Times New Roman"/>
          <w:sz w:val="22"/>
          <w:szCs w:val="22"/>
          <w:lang w:val="en-US"/>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t>
      </w:r>
      <w:r w:rsidRPr="00CF2606">
        <w:rPr>
          <w:rFonts w:ascii="Times New Roman" w:hAnsi="Times New Roman" w:cs="Times New Roman"/>
          <w:sz w:val="22"/>
          <w:szCs w:val="22"/>
          <w:lang w:val="en-US"/>
        </w:rPr>
        <w:t xml:space="preserve">The nationalist, colonialist and Marxist historiographies were critiqued for treating the subordinate classes as lacking a consciousness of their own and thus unable to make their own history. The colonial historiography presented Indian nationalism as an aggregation of ideas and activities formulated by the colonial rulers and to which the Indian elite responded (for ex. Brown, 1977). Likewise, nationalist historiography presented Indian nationalism as a movement led and represented solely by the Indian National Congress </w:t>
      </w:r>
      <w:r w:rsidRPr="00CF2606">
        <w:rPr>
          <w:rFonts w:ascii="Times New Roman" w:hAnsi="Times New Roman" w:cs="Times New Roman"/>
          <w:sz w:val="22"/>
          <w:szCs w:val="22"/>
          <w:lang w:val="en-US"/>
        </w:rPr>
        <w:fldChar w:fldCharType="begin" w:fldLock="1"/>
      </w:r>
      <w:r w:rsidRPr="00CF2606">
        <w:rPr>
          <w:rFonts w:ascii="Times New Roman" w:hAnsi="Times New Roman" w:cs="Times New Roman"/>
          <w:sz w:val="22"/>
          <w:szCs w:val="22"/>
          <w:lang w:val="en-US"/>
        </w:rPr>
        <w:instrText>ADDIN CSL_CITATION {"citationItems":[{"id":"ITEM-1","itemData":{"author":[{"dropping-particle":"","family":"Sitaramayya","given":"B Pattabhi","non-dropping-particle":"","parse-names":false,"suffix":""}],"id":"ITEM-1","issued":{"date-parts":[["1946"]]},"publisher":"Padma Publications","publisher-place":"Bombay","title":"History of the Indian National Congress, vol. I 1885-1935","type":"book"},"prefix":"e.g.","uris":["http://www.mendeley.com/documents/?uuid=8998b7ca-7ca1-4a61-b2f3-b9296a8e6c11"]}],"mendeley":{"formattedCitation":"(e.g. Sitaramayya, 1946)","plainTextFormattedCitation":"(e.g. Sitaramayya, 1946)","previouslyFormattedCitation":"(e.g. Sitaramayya, 1946)"},"properties":{"noteIndex":0},"schema":"https://github.com/citation-style-language/schema/raw/master/csl-citation.json"}</w:instrText>
      </w:r>
      <w:r w:rsidRPr="00CF2606">
        <w:rPr>
          <w:rFonts w:ascii="Times New Roman" w:hAnsi="Times New Roman" w:cs="Times New Roman"/>
          <w:sz w:val="22"/>
          <w:szCs w:val="22"/>
          <w:lang w:val="en-US"/>
        </w:rPr>
        <w:fldChar w:fldCharType="separate"/>
      </w:r>
      <w:r w:rsidRPr="00CF2606">
        <w:rPr>
          <w:rFonts w:ascii="Times New Roman" w:hAnsi="Times New Roman" w:cs="Times New Roman"/>
          <w:noProof/>
          <w:sz w:val="22"/>
          <w:szCs w:val="22"/>
          <w:lang w:val="en-US"/>
        </w:rPr>
        <w:t>(e.g. Sitaramayya, 1946)</w:t>
      </w:r>
      <w:r w:rsidRPr="00CF2606">
        <w:rPr>
          <w:rFonts w:ascii="Times New Roman" w:hAnsi="Times New Roman" w:cs="Times New Roman"/>
          <w:sz w:val="22"/>
          <w:szCs w:val="22"/>
          <w:lang w:val="en-US"/>
        </w:rPr>
        <w:fldChar w:fldCharType="end"/>
      </w:r>
      <w:r w:rsidRPr="00CF2606">
        <w:rPr>
          <w:rFonts w:ascii="Times New Roman" w:hAnsi="Times New Roman" w:cs="Times New Roman"/>
          <w:sz w:val="22"/>
          <w:szCs w:val="22"/>
          <w:lang w:val="en-US"/>
        </w:rPr>
        <w:t>. The Marxist historiography has over-</w:t>
      </w:r>
      <w:r w:rsidRPr="00CF2606">
        <w:rPr>
          <w:rFonts w:ascii="Times New Roman" w:hAnsi="Times New Roman" w:cs="Times New Roman"/>
          <w:sz w:val="22"/>
          <w:szCs w:val="22"/>
          <w:lang w:val="en-US"/>
        </w:rPr>
        <w:t xml:space="preserve">emphasised the opposition between the feudal and bourgeois, overriding the historical specificity of subaltern movements in terms of consciousness and practice </w:t>
      </w:r>
      <w:r w:rsidRPr="00CF2606">
        <w:rPr>
          <w:rFonts w:ascii="Times New Roman" w:hAnsi="Times New Roman" w:cs="Times New Roman"/>
          <w:sz w:val="22"/>
          <w:szCs w:val="22"/>
          <w:lang w:val="en-US"/>
        </w:rPr>
        <w:fldChar w:fldCharType="begin" w:fldLock="1"/>
      </w:r>
      <w:r w:rsidRPr="00CF2606">
        <w:rPr>
          <w:rFonts w:ascii="Times New Roman" w:hAnsi="Times New Roman" w:cs="Times New Roman"/>
          <w:sz w:val="22"/>
          <w:szCs w:val="22"/>
          <w:lang w:val="en-US"/>
        </w:rPr>
        <w:instrText>ADDIN CSL_CITATION {"citationItems":[{"id":"ITEM-1","itemData":{"ISSN":"0970-0293","author":[{"dropping-particle":"","family":"Chatterjee","given":"Partha","non-dropping-particle":"","parse-names":false,"suffix":""}],"container-title":"Social Scientist","id":"ITEM-1","issued":{"date-parts":[["1983"]]},"page":"58-65","publisher":"JSTOR","title":"Peasants, politics and historiography: a response","type":"article-journal"},"prefix":"for an extended critique see ","uris":["http://www.mendeley.com/documents/?uuid=e028e686-8899-4b7e-8fa6-ff00b5ee3232"]}],"mendeley":{"formattedCitation":"(for an extended critique see Chatterjee, 1983)","plainTextFormattedCitation":"(for an extended critique see Chatterjee, 1983)","previouslyFormattedCitation":"(for an extended critique see Chatterjee, 1983)"},"properties":{"noteIndex":0},"schema":"https://github.com/citation-style-language/schema/raw/master/csl-citation.json"}</w:instrText>
      </w:r>
      <w:r w:rsidRPr="00CF2606">
        <w:rPr>
          <w:rFonts w:ascii="Times New Roman" w:hAnsi="Times New Roman" w:cs="Times New Roman"/>
          <w:sz w:val="22"/>
          <w:szCs w:val="22"/>
          <w:lang w:val="en-US"/>
        </w:rPr>
        <w:fldChar w:fldCharType="separate"/>
      </w:r>
      <w:r w:rsidRPr="00CF2606">
        <w:rPr>
          <w:rFonts w:ascii="Times New Roman" w:hAnsi="Times New Roman" w:cs="Times New Roman"/>
          <w:noProof/>
          <w:sz w:val="22"/>
          <w:szCs w:val="22"/>
          <w:lang w:val="en-US"/>
        </w:rPr>
        <w:t>(for an extended critique see Chatterjee, 1983)</w:t>
      </w:r>
      <w:r w:rsidRPr="00CF2606">
        <w:rPr>
          <w:rFonts w:ascii="Times New Roman" w:hAnsi="Times New Roman" w:cs="Times New Roman"/>
          <w:sz w:val="22"/>
          <w:szCs w:val="22"/>
          <w:lang w:val="en-US"/>
        </w:rPr>
        <w:fldChar w:fldCharType="end"/>
      </w:r>
      <w:r w:rsidRPr="00CF2606">
        <w:rPr>
          <w:rFonts w:ascii="Times New Roman" w:hAnsi="Times New Roman" w:cs="Times New Roman"/>
          <w:sz w:val="22"/>
          <w:szCs w:val="22"/>
          <w:lang w:val="en-US"/>
        </w:rPr>
        <w:t>.</w:t>
      </w:r>
    </w:p>
  </w:footnote>
  <w:footnote w:id="14">
    <w:p w14:paraId="09894817"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This of course does not mean that, especially at the extreme end of the caste ladder, a steep hierarchical order has vanished or that untouchability had disappeared (see also below).</w:t>
      </w:r>
    </w:p>
  </w:footnote>
  <w:footnote w:id="15">
    <w:p w14:paraId="3371B6DE" w14:textId="11735B47" w:rsidR="003C31C2" w:rsidRDefault="003C31C2">
      <w:pPr>
        <w:pStyle w:val="Testonotaapidipagina"/>
      </w:pPr>
      <w:r>
        <w:rPr>
          <w:rStyle w:val="Rimandonotaapidipagina"/>
        </w:rPr>
        <w:footnoteRef/>
      </w:r>
      <w:r>
        <w:t xml:space="preserve"> Interview 41, </w:t>
      </w:r>
      <w:r>
        <w:t xml:space="preserve">Anantpur district, 6 January 2017. </w:t>
      </w:r>
      <w:r w:rsidRPr="00CF2606">
        <w:rPr>
          <w:rFonts w:ascii="Times New Roman" w:hAnsi="Times New Roman" w:cs="Times New Roman"/>
          <w:sz w:val="22"/>
          <w:szCs w:val="22"/>
        </w:rPr>
        <w:t xml:space="preserve">See Manor </w:t>
      </w:r>
      <w:r w:rsidRPr="00CF2606">
        <w:rPr>
          <w:rFonts w:ascii="Times New Roman" w:hAnsi="Times New Roman" w:cs="Times New Roman"/>
          <w:sz w:val="22"/>
          <w:szCs w:val="22"/>
        </w:rPr>
        <w:fldChar w:fldCharType="begin" w:fldLock="1"/>
      </w:r>
      <w:r w:rsidRPr="00CF2606">
        <w:rPr>
          <w:rFonts w:ascii="Times New Roman" w:hAnsi="Times New Roman" w:cs="Times New Roman"/>
          <w:sz w:val="22"/>
          <w:szCs w:val="22"/>
        </w:rPr>
        <w:instrText>ADDIN CSL_CITATION {"citationItems":[{"id":"ITEM-1","itemData":{"author":[{"dropping-particle":"","family":"Manor","given":"James","non-dropping-particle":"","parse-names":false,"suffix":""}],"container-title":"Seminar","id":"ITEM-1","issued":{"date-parts":[["2012"]]},"title":"Accommodation and conflict","type":"article-journal","volume":"633"},"suppress-author":1,"uris":["http://www.mendeley.com/documents/?uuid=2ede38b6-77d7-4d13-966a-556517ef4d8e"]}],"mendeley":{"formattedCitation":"(2012)","plainTextFormattedCitation":"(2012)","previouslyFormattedCitation":"(2012)"},"properties":{"noteIndex":0},"schema":"https://github.com/citation-style-language/schema/raw/master/csl-citation.json"}</w:instrText>
      </w:r>
      <w:r w:rsidRPr="00CF2606">
        <w:rPr>
          <w:rFonts w:ascii="Times New Roman" w:hAnsi="Times New Roman" w:cs="Times New Roman"/>
          <w:sz w:val="22"/>
          <w:szCs w:val="22"/>
        </w:rPr>
        <w:fldChar w:fldCharType="separate"/>
      </w:r>
      <w:r w:rsidRPr="00CF2606">
        <w:rPr>
          <w:rFonts w:ascii="Times New Roman" w:hAnsi="Times New Roman" w:cs="Times New Roman"/>
          <w:noProof/>
          <w:sz w:val="22"/>
          <w:szCs w:val="22"/>
        </w:rPr>
        <w:t>(2012)</w:t>
      </w:r>
      <w:r w:rsidRPr="00CF2606">
        <w:rPr>
          <w:rFonts w:ascii="Times New Roman" w:hAnsi="Times New Roman" w:cs="Times New Roman"/>
          <w:sz w:val="22"/>
          <w:szCs w:val="22"/>
        </w:rPr>
        <w:fldChar w:fldCharType="end"/>
      </w:r>
      <w:r w:rsidRPr="00CF2606">
        <w:rPr>
          <w:rFonts w:ascii="Times New Roman" w:hAnsi="Times New Roman" w:cs="Times New Roman"/>
          <w:sz w:val="22"/>
          <w:szCs w:val="22"/>
        </w:rPr>
        <w:t xml:space="preserve"> and Carswell &amp; De Neve (2014) for a similar argument from different parts of India.</w:t>
      </w:r>
    </w:p>
  </w:footnote>
  <w:footnote w:id="16">
    <w:p w14:paraId="66346222"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There is widespread evidence of this from across India. See the references in the previous paragraphs and Jeffrey 2001 p. 222 for additional ones.</w:t>
      </w:r>
    </w:p>
  </w:footnote>
  <w:footnote w:id="17">
    <w:p w14:paraId="02A59D47" w14:textId="23EE38C1"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Pr>
          <w:rFonts w:ascii="Times New Roman" w:hAnsi="Times New Roman" w:cs="Times New Roman"/>
          <w:color w:val="000000" w:themeColor="text1"/>
          <w:sz w:val="24"/>
          <w:szCs w:val="24"/>
        </w:rPr>
        <w:t xml:space="preserve"> </w:t>
      </w:r>
      <w:r w:rsidRPr="00FD33A1">
        <w:rPr>
          <w:rFonts w:ascii="Times New Roman" w:hAnsi="Times New Roman" w:cs="Times New Roman"/>
          <w:color w:val="000000" w:themeColor="text1"/>
          <w:sz w:val="24"/>
          <w:szCs w:val="24"/>
        </w:rPr>
        <w:t>Interview</w:t>
      </w:r>
      <w:r>
        <w:rPr>
          <w:rFonts w:ascii="Times New Roman" w:hAnsi="Times New Roman" w:cs="Times New Roman"/>
          <w:color w:val="000000" w:themeColor="text1"/>
          <w:sz w:val="24"/>
          <w:szCs w:val="24"/>
        </w:rPr>
        <w:t xml:space="preserve"> 1-5</w:t>
      </w:r>
      <w:r w:rsidRPr="00FD33A1">
        <w:rPr>
          <w:rFonts w:ascii="Times New Roman" w:hAnsi="Times New Roman" w:cs="Times New Roman"/>
          <w:color w:val="000000" w:themeColor="text1"/>
          <w:sz w:val="24"/>
          <w:szCs w:val="24"/>
        </w:rPr>
        <w:t>, Guntur district, February 2017</w:t>
      </w:r>
      <w:r>
        <w:rPr>
          <w:rFonts w:ascii="Times New Roman" w:hAnsi="Times New Roman" w:cs="Times New Roman"/>
          <w:color w:val="000000" w:themeColor="text1"/>
          <w:sz w:val="24"/>
          <w:szCs w:val="24"/>
        </w:rPr>
        <w:t>.</w:t>
      </w:r>
      <w:r w:rsidRPr="00CF2606">
        <w:rPr>
          <w:rFonts w:ascii="Times New Roman" w:hAnsi="Times New Roman" w:cs="Times New Roman"/>
          <w:sz w:val="22"/>
          <w:szCs w:val="22"/>
        </w:rPr>
        <w:t xml:space="preserve"> The same idea was expressed by upper or middle caste farmers in all of our fieldwork locations. </w:t>
      </w:r>
    </w:p>
  </w:footnote>
  <w:footnote w:id="18">
    <w:p w14:paraId="48AE376B" w14:textId="75BF870C" w:rsidR="003C31C2" w:rsidRDefault="003C31C2">
      <w:pPr>
        <w:pStyle w:val="Testonotaapidipagina"/>
      </w:pPr>
      <w:r>
        <w:rPr>
          <w:rStyle w:val="Rimandonotaapidipagina"/>
        </w:rPr>
        <w:footnoteRef/>
      </w:r>
      <w:r>
        <w:t xml:space="preserve"> Interview 4, </w:t>
      </w:r>
      <w:r>
        <w:t>Anantpur district, 17 January 2016.</w:t>
      </w:r>
    </w:p>
  </w:footnote>
  <w:footnote w:id="19">
    <w:p w14:paraId="4ACD4F4A" w14:textId="34F61FB6" w:rsidR="003C31C2" w:rsidRDefault="003C31C2">
      <w:pPr>
        <w:pStyle w:val="Testonotaapidipagina"/>
      </w:pPr>
      <w:r>
        <w:rPr>
          <w:rStyle w:val="Rimandonotaapidipagina"/>
        </w:rPr>
        <w:footnoteRef/>
      </w:r>
      <w:r>
        <w:t xml:space="preserve"> Interview 3, </w:t>
      </w:r>
      <w:r w:rsidRPr="00FD33A1">
        <w:rPr>
          <w:rFonts w:ascii="Times New Roman" w:hAnsi="Times New Roman" w:cs="Times New Roman"/>
          <w:color w:val="000000" w:themeColor="text1"/>
          <w:sz w:val="24"/>
          <w:szCs w:val="24"/>
        </w:rPr>
        <w:t>Anantpur district,</w:t>
      </w:r>
      <w:r>
        <w:rPr>
          <w:rFonts w:ascii="Times New Roman" w:hAnsi="Times New Roman" w:cs="Times New Roman"/>
          <w:color w:val="000000" w:themeColor="text1"/>
          <w:sz w:val="24"/>
          <w:szCs w:val="24"/>
        </w:rPr>
        <w:t xml:space="preserve"> 17</w:t>
      </w:r>
      <w:r w:rsidRPr="00FD33A1">
        <w:rPr>
          <w:rFonts w:ascii="Times New Roman" w:hAnsi="Times New Roman" w:cs="Times New Roman"/>
          <w:color w:val="000000" w:themeColor="text1"/>
          <w:sz w:val="24"/>
          <w:szCs w:val="24"/>
        </w:rPr>
        <w:t xml:space="preserve"> January 2016</w:t>
      </w:r>
      <w:r>
        <w:rPr>
          <w:rFonts w:ascii="Times New Roman" w:hAnsi="Times New Roman" w:cs="Times New Roman"/>
          <w:color w:val="000000" w:themeColor="text1"/>
          <w:sz w:val="24"/>
          <w:szCs w:val="24"/>
        </w:rPr>
        <w:t>.</w:t>
      </w:r>
    </w:p>
  </w:footnote>
  <w:footnote w:id="20">
    <w:p w14:paraId="268F67FD"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This is actually purified water from a nearby water plant.</w:t>
      </w:r>
    </w:p>
  </w:footnote>
  <w:footnote w:id="21">
    <w:p w14:paraId="66951B6B"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These are labourers (known as </w:t>
      </w:r>
      <w:r w:rsidRPr="00CF2606">
        <w:rPr>
          <w:rFonts w:ascii="Times New Roman" w:hAnsi="Times New Roman" w:cs="Times New Roman"/>
          <w:color w:val="000000" w:themeColor="text1"/>
          <w:sz w:val="22"/>
          <w:szCs w:val="22"/>
        </w:rPr>
        <w:t>Mistries) who act as labour contractors for the farmers.</w:t>
      </w:r>
    </w:p>
  </w:footnote>
  <w:footnote w:id="22">
    <w:p w14:paraId="0149C5CC"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This came out of several interviews with both labourers and landowners conducted in February 2017.</w:t>
      </w:r>
    </w:p>
  </w:footnote>
  <w:footnote w:id="23">
    <w:p w14:paraId="0DA5A511" w14:textId="4C33D407" w:rsidR="003C31C2" w:rsidRDefault="003C31C2">
      <w:pPr>
        <w:pStyle w:val="Testonotaapidipagina"/>
      </w:pPr>
      <w:r>
        <w:rPr>
          <w:rStyle w:val="Rimandonotaapidipagina"/>
        </w:rPr>
        <w:footnoteRef/>
      </w:r>
      <w:r>
        <w:t xml:space="preserve"> Interview 2, </w:t>
      </w:r>
      <w:r>
        <w:t>Anantpur district, 17 January 2016.</w:t>
      </w:r>
    </w:p>
  </w:footnote>
  <w:footnote w:id="24">
    <w:p w14:paraId="0E98C318" w14:textId="7BE5C214" w:rsidR="003C31C2" w:rsidRDefault="003C31C2">
      <w:pPr>
        <w:pStyle w:val="Testonotaapidipagina"/>
      </w:pPr>
      <w:r>
        <w:rPr>
          <w:rStyle w:val="Rimandonotaapidipagina"/>
        </w:rPr>
        <w:footnoteRef/>
      </w:r>
      <w:r>
        <w:t xml:space="preserve"> Interviews 1-5, Guntur district, 18 February 2017.</w:t>
      </w:r>
    </w:p>
  </w:footnote>
  <w:footnote w:id="25">
    <w:p w14:paraId="2F9310FE" w14:textId="233212AB" w:rsidR="003C31C2" w:rsidRDefault="003C31C2">
      <w:pPr>
        <w:pStyle w:val="Testonotaapidipagina"/>
      </w:pPr>
      <w:r>
        <w:rPr>
          <w:rStyle w:val="Rimandonotaapidipagina"/>
        </w:rPr>
        <w:footnoteRef/>
      </w:r>
      <w:r>
        <w:t xml:space="preserve"> Interview</w:t>
      </w:r>
      <w:r w:rsidR="00D567B7">
        <w:t xml:space="preserve"> 6</w:t>
      </w:r>
      <w:r>
        <w:t xml:space="preserve">, </w:t>
      </w:r>
      <w:r>
        <w:t>Anantpur district, 18 January 2016.</w:t>
      </w:r>
    </w:p>
  </w:footnote>
  <w:footnote w:id="26">
    <w:p w14:paraId="0635C222"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This is partly due to the</w:t>
      </w:r>
      <w:r w:rsidRPr="00CF2606">
        <w:rPr>
          <w:rFonts w:ascii="Times New Roman" w:eastAsiaTheme="minorHAnsi" w:hAnsi="Times New Roman" w:cs="Times New Roman"/>
          <w:sz w:val="22"/>
          <w:szCs w:val="22"/>
          <w:lang w:val="en-US"/>
        </w:rPr>
        <w:t xml:space="preserve"> Protection of Civil Rights, 1979 and the</w:t>
      </w:r>
      <w:r w:rsidRPr="00CF2606">
        <w:rPr>
          <w:rFonts w:ascii="Times New Roman" w:hAnsi="Times New Roman" w:cs="Times New Roman"/>
          <w:color w:val="000000" w:themeColor="text1"/>
          <w:sz w:val="22"/>
          <w:szCs w:val="22"/>
        </w:rPr>
        <w:t xml:space="preserve"> Scheduled Caste and Scheduled Tribes Prevention of Atrocities Act, 1989 </w:t>
      </w:r>
    </w:p>
  </w:footnote>
  <w:footnote w:id="27">
    <w:p w14:paraId="19890648" w14:textId="1F73658C" w:rsidR="003C31C2" w:rsidRDefault="003C31C2">
      <w:pPr>
        <w:pStyle w:val="Testonotaapidipagina"/>
      </w:pPr>
      <w:r>
        <w:rPr>
          <w:rStyle w:val="Rimandonotaapidipagina"/>
        </w:rPr>
        <w:footnoteRef/>
      </w:r>
      <w:r>
        <w:t xml:space="preserve"> Interview 5, Guntur district, October 2016.</w:t>
      </w:r>
    </w:p>
  </w:footnote>
  <w:footnote w:id="28">
    <w:p w14:paraId="57654D78"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w:t>
      </w:r>
      <w:r w:rsidRPr="00CF2606">
        <w:rPr>
          <w:rFonts w:ascii="Times New Roman" w:hAnsi="Times New Roman" w:cs="Times New Roman"/>
          <w:color w:val="262626"/>
          <w:sz w:val="22"/>
          <w:szCs w:val="22"/>
        </w:rPr>
        <w:t xml:space="preserve">The erosion of caste practices only extends so far: </w:t>
      </w:r>
      <w:r w:rsidRPr="00CF2606">
        <w:rPr>
          <w:rFonts w:ascii="Times New Roman" w:hAnsi="Times New Roman" w:cs="Times New Roman"/>
          <w:color w:val="262626"/>
          <w:sz w:val="22"/>
          <w:szCs w:val="22"/>
        </w:rPr>
        <w:t>Reddies are usually invited to Dalits’ weddings too, but they never go.</w:t>
      </w:r>
    </w:p>
  </w:footnote>
  <w:footnote w:id="29">
    <w:p w14:paraId="6459E5FE" w14:textId="652DD8E5"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w:t>
      </w:r>
      <w:r>
        <w:rPr>
          <w:rFonts w:ascii="Times New Roman" w:hAnsi="Times New Roman" w:cs="Times New Roman"/>
          <w:color w:val="000000" w:themeColor="text1"/>
          <w:sz w:val="22"/>
          <w:szCs w:val="22"/>
        </w:rPr>
        <w:t xml:space="preserve">Series of interviews, Jhansi district, February 2017. </w:t>
      </w:r>
      <w:r w:rsidRPr="00CF2606">
        <w:rPr>
          <w:rFonts w:ascii="Times New Roman" w:hAnsi="Times New Roman" w:cs="Times New Roman"/>
          <w:color w:val="000000" w:themeColor="text1"/>
          <w:sz w:val="22"/>
          <w:szCs w:val="22"/>
        </w:rPr>
        <w:t xml:space="preserve">It is important to keep in mind that these processes are highly localised. </w:t>
      </w:r>
      <w:r w:rsidRPr="00CF2606">
        <w:rPr>
          <w:rFonts w:ascii="Times New Roman" w:hAnsi="Times New Roman" w:cs="Times New Roman"/>
          <w:color w:val="000000" w:themeColor="text1"/>
          <w:sz w:val="22"/>
          <w:szCs w:val="22"/>
        </w:rPr>
        <w:t>Kapur et al. (2011)’s research in UP, for example, shows that wedding arrangements underwent through a great deal of change in the last decades and resemble what we found in AP.</w:t>
      </w:r>
    </w:p>
  </w:footnote>
  <w:footnote w:id="30">
    <w:p w14:paraId="29B93DD1" w14:textId="026A235D" w:rsidR="003C31C2" w:rsidRDefault="003C31C2">
      <w:pPr>
        <w:pStyle w:val="Testonotaapidipagina"/>
      </w:pPr>
      <w:r>
        <w:rPr>
          <w:rStyle w:val="Rimandonotaapidipagina"/>
        </w:rPr>
        <w:footnoteRef/>
      </w:r>
      <w:r>
        <w:t xml:space="preserve"> Various interviews, Jhansi district, August 2016.</w:t>
      </w:r>
    </w:p>
  </w:footnote>
  <w:footnote w:id="31">
    <w:p w14:paraId="67D9235A"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Our interviewee used the word ‘toilet’, but what he meant was relieving themselves in the bushes.</w:t>
      </w:r>
    </w:p>
  </w:footnote>
  <w:footnote w:id="32">
    <w:p w14:paraId="500B7F12" w14:textId="6A9E5D36" w:rsidR="003C31C2" w:rsidRDefault="003C31C2">
      <w:pPr>
        <w:pStyle w:val="Testonotaapidipagina"/>
      </w:pPr>
      <w:r>
        <w:rPr>
          <w:rStyle w:val="Rimandonotaapidipagina"/>
        </w:rPr>
        <w:footnoteRef/>
      </w:r>
      <w:r>
        <w:t xml:space="preserve"> Interview</w:t>
      </w:r>
      <w:r w:rsidR="00D567B7">
        <w:t xml:space="preserve"> 13</w:t>
      </w:r>
      <w:r>
        <w:t xml:space="preserve">, </w:t>
      </w:r>
      <w:r w:rsidRPr="00FD33A1">
        <w:rPr>
          <w:rFonts w:ascii="Times New Roman" w:hAnsi="Times New Roman" w:cs="Times New Roman"/>
          <w:color w:val="000000" w:themeColor="text1"/>
          <w:sz w:val="24"/>
          <w:szCs w:val="24"/>
        </w:rPr>
        <w:t>Anantpur district</w:t>
      </w:r>
      <w:r>
        <w:rPr>
          <w:rFonts w:ascii="Times New Roman" w:hAnsi="Times New Roman" w:cs="Times New Roman"/>
          <w:color w:val="000000" w:themeColor="text1"/>
          <w:sz w:val="24"/>
          <w:szCs w:val="24"/>
        </w:rPr>
        <w:t>, 19 January 2016.</w:t>
      </w:r>
    </w:p>
  </w:footnote>
  <w:footnote w:id="33">
    <w:p w14:paraId="2E734807" w14:textId="36CDBF32" w:rsidR="003C31C2" w:rsidRDefault="003C31C2">
      <w:pPr>
        <w:pStyle w:val="Testonotaapidipagina"/>
      </w:pPr>
      <w:r>
        <w:rPr>
          <w:rStyle w:val="Rimandonotaapidipagina"/>
        </w:rPr>
        <w:footnoteRef/>
      </w:r>
      <w:r>
        <w:t xml:space="preserve"> </w:t>
      </w:r>
      <w:r>
        <w:rPr>
          <w:rFonts w:ascii="Times New Roman" w:hAnsi="Times New Roman" w:cs="Times New Roman"/>
          <w:color w:val="000000" w:themeColor="text1"/>
          <w:sz w:val="24"/>
          <w:szCs w:val="24"/>
        </w:rPr>
        <w:t>I</w:t>
      </w:r>
      <w:r w:rsidRPr="00FD33A1">
        <w:rPr>
          <w:rFonts w:ascii="Times New Roman" w:hAnsi="Times New Roman" w:cs="Times New Roman"/>
          <w:color w:val="000000" w:themeColor="text1"/>
          <w:sz w:val="24"/>
          <w:szCs w:val="24"/>
        </w:rPr>
        <w:t>nterview</w:t>
      </w:r>
      <w:r w:rsidR="00D567B7">
        <w:rPr>
          <w:rFonts w:ascii="Times New Roman" w:hAnsi="Times New Roman" w:cs="Times New Roman"/>
          <w:color w:val="000000" w:themeColor="text1"/>
          <w:sz w:val="24"/>
          <w:szCs w:val="24"/>
        </w:rPr>
        <w:t xml:space="preserve"> 16</w:t>
      </w:r>
      <w:r w:rsidRPr="00FD33A1">
        <w:rPr>
          <w:rFonts w:ascii="Times New Roman" w:hAnsi="Times New Roman" w:cs="Times New Roman"/>
          <w:color w:val="000000" w:themeColor="text1"/>
          <w:sz w:val="24"/>
          <w:szCs w:val="24"/>
        </w:rPr>
        <w:t>, Jhansi district, 14 February 2017</w:t>
      </w:r>
    </w:p>
  </w:footnote>
  <w:footnote w:id="34">
    <w:p w14:paraId="103F608D" w14:textId="6AC1D962" w:rsidR="003C31C2" w:rsidRDefault="003C31C2">
      <w:pPr>
        <w:pStyle w:val="Testonotaapidipagina"/>
      </w:pPr>
      <w:r>
        <w:rPr>
          <w:rStyle w:val="Rimandonotaapidipagina"/>
        </w:rPr>
        <w:footnoteRef/>
      </w:r>
      <w:r>
        <w:t xml:space="preserve"> Various </w:t>
      </w:r>
      <w:r w:rsidRPr="00FD33A1">
        <w:rPr>
          <w:rFonts w:ascii="Times New Roman" w:hAnsi="Times New Roman" w:cs="Times New Roman"/>
          <w:color w:val="000000" w:themeColor="text1"/>
          <w:sz w:val="24"/>
          <w:szCs w:val="24"/>
        </w:rPr>
        <w:t>interviews, Jhansi district, 14 February 2017</w:t>
      </w:r>
      <w:r>
        <w:rPr>
          <w:rFonts w:ascii="Times New Roman" w:hAnsi="Times New Roman" w:cs="Times New Roman"/>
          <w:color w:val="000000" w:themeColor="text1"/>
          <w:sz w:val="24"/>
          <w:szCs w:val="24"/>
        </w:rPr>
        <w:t>.</w:t>
      </w:r>
    </w:p>
  </w:footnote>
  <w:footnote w:id="35">
    <w:p w14:paraId="11C9C43D" w14:textId="167E23E9" w:rsidR="003C31C2" w:rsidRDefault="003C31C2">
      <w:pPr>
        <w:pStyle w:val="Testonotaapidipagina"/>
      </w:pPr>
      <w:r>
        <w:rPr>
          <w:rStyle w:val="Rimandonotaapidipagina"/>
        </w:rPr>
        <w:footnoteRef/>
      </w:r>
      <w:r>
        <w:t xml:space="preserve"> Various </w:t>
      </w:r>
      <w:r w:rsidRPr="00FD33A1">
        <w:rPr>
          <w:rFonts w:ascii="Times New Roman" w:hAnsi="Times New Roman" w:cs="Times New Roman"/>
          <w:color w:val="000000" w:themeColor="text1"/>
          <w:sz w:val="24"/>
          <w:szCs w:val="24"/>
        </w:rPr>
        <w:t>interviews, Jhansi district, 14 February 2017</w:t>
      </w:r>
      <w:r>
        <w:rPr>
          <w:rFonts w:ascii="Times New Roman" w:hAnsi="Times New Roman" w:cs="Times New Roman"/>
          <w:color w:val="000000" w:themeColor="text1"/>
          <w:sz w:val="24"/>
          <w:szCs w:val="24"/>
        </w:rPr>
        <w:t>.</w:t>
      </w:r>
    </w:p>
  </w:footnote>
  <w:footnote w:id="36">
    <w:p w14:paraId="608EA645" w14:textId="70FADE29" w:rsidR="003C31C2" w:rsidRDefault="003C31C2">
      <w:pPr>
        <w:pStyle w:val="Testonotaapidipagina"/>
      </w:pPr>
      <w:r>
        <w:rPr>
          <w:rStyle w:val="Rimandonotaapidipagina"/>
        </w:rPr>
        <w:footnoteRef/>
      </w:r>
      <w:r>
        <w:t xml:space="preserve"> Interview</w:t>
      </w:r>
      <w:r w:rsidR="00D567B7">
        <w:t xml:space="preserve"> 40</w:t>
      </w:r>
      <w:r>
        <w:t xml:space="preserve">, </w:t>
      </w:r>
      <w:r w:rsidRPr="00FD33A1">
        <w:rPr>
          <w:rFonts w:ascii="Times New Roman" w:hAnsi="Times New Roman" w:cs="Times New Roman"/>
          <w:color w:val="000000" w:themeColor="text1"/>
          <w:sz w:val="24"/>
          <w:szCs w:val="24"/>
        </w:rPr>
        <w:t>Anantpur district</w:t>
      </w:r>
      <w:r>
        <w:rPr>
          <w:rFonts w:ascii="Times New Roman" w:hAnsi="Times New Roman" w:cs="Times New Roman"/>
          <w:color w:val="000000" w:themeColor="text1"/>
          <w:sz w:val="24"/>
          <w:szCs w:val="24"/>
        </w:rPr>
        <w:t>, 6 January 2017.</w:t>
      </w:r>
    </w:p>
  </w:footnote>
  <w:footnote w:id="37">
    <w:p w14:paraId="328D8756" w14:textId="6848E242" w:rsidR="003C31C2" w:rsidRDefault="003C31C2">
      <w:pPr>
        <w:pStyle w:val="Testonotaapidipagina"/>
      </w:pPr>
      <w:r>
        <w:rPr>
          <w:rStyle w:val="Rimandonotaapidipagina"/>
        </w:rPr>
        <w:footnoteRef/>
      </w:r>
      <w:r>
        <w:t xml:space="preserve"> Interview 41, </w:t>
      </w:r>
      <w:r w:rsidRPr="00FD33A1">
        <w:rPr>
          <w:rFonts w:ascii="Times New Roman" w:hAnsi="Times New Roman" w:cs="Times New Roman"/>
          <w:color w:val="000000" w:themeColor="text1"/>
          <w:sz w:val="24"/>
          <w:szCs w:val="24"/>
        </w:rPr>
        <w:t>Anantpur district</w:t>
      </w:r>
      <w:r>
        <w:rPr>
          <w:rFonts w:ascii="Times New Roman" w:hAnsi="Times New Roman" w:cs="Times New Roman"/>
          <w:color w:val="000000" w:themeColor="text1"/>
          <w:sz w:val="24"/>
          <w:szCs w:val="24"/>
        </w:rPr>
        <w:t>, 6 January 2017.</w:t>
      </w:r>
    </w:p>
  </w:footnote>
  <w:footnote w:id="38">
    <w:p w14:paraId="14858E6E" w14:textId="4E478E64" w:rsidR="003C31C2" w:rsidRDefault="003C31C2">
      <w:pPr>
        <w:pStyle w:val="Testonotaapidipagina"/>
      </w:pPr>
      <w:r>
        <w:rPr>
          <w:rStyle w:val="Rimandonotaapidipagina"/>
        </w:rPr>
        <w:footnoteRef/>
      </w:r>
      <w:r>
        <w:t xml:space="preserve"> </w:t>
      </w:r>
      <w:r>
        <w:rPr>
          <w:rFonts w:ascii="Times New Roman" w:hAnsi="Times New Roman" w:cs="Times New Roman"/>
          <w:color w:val="000000" w:themeColor="text1"/>
          <w:sz w:val="24"/>
          <w:szCs w:val="24"/>
        </w:rPr>
        <w:t>S</w:t>
      </w:r>
      <w:r w:rsidRPr="00FD33A1">
        <w:rPr>
          <w:rFonts w:ascii="Times New Roman" w:hAnsi="Times New Roman" w:cs="Times New Roman"/>
          <w:color w:val="000000" w:themeColor="text1"/>
          <w:sz w:val="24"/>
          <w:szCs w:val="24"/>
        </w:rPr>
        <w:t xml:space="preserve">eries of direct observations, January and February 2017, </w:t>
      </w:r>
      <w:r w:rsidRPr="00FD33A1">
        <w:rPr>
          <w:rFonts w:ascii="Times New Roman" w:hAnsi="Times New Roman" w:cs="Times New Roman"/>
          <w:color w:val="000000" w:themeColor="text1"/>
          <w:sz w:val="24"/>
          <w:szCs w:val="24"/>
        </w:rPr>
        <w:t>Anantpur district.</w:t>
      </w:r>
      <w:r>
        <w:rPr>
          <w:rFonts w:ascii="Times New Roman" w:hAnsi="Times New Roman" w:cs="Times New Roman"/>
          <w:color w:val="000000" w:themeColor="text1"/>
          <w:sz w:val="24"/>
          <w:szCs w:val="24"/>
        </w:rPr>
        <w:t xml:space="preserve"> See also </w:t>
      </w:r>
      <w:r w:rsidRPr="00CF2606">
        <w:rPr>
          <w:rFonts w:ascii="Times New Roman" w:hAnsi="Times New Roman" w:cs="Times New Roman"/>
          <w:sz w:val="22"/>
          <w:szCs w:val="22"/>
        </w:rPr>
        <w:fldChar w:fldCharType="begin" w:fldLock="1"/>
      </w:r>
      <w:r w:rsidRPr="00CF2606">
        <w:rPr>
          <w:rFonts w:ascii="Times New Roman" w:hAnsi="Times New Roman" w:cs="Times New Roman"/>
          <w:sz w:val="22"/>
          <w:szCs w:val="22"/>
        </w:rPr>
        <w:instrText>ADDIN CSL_CITATION {"citationItems":[{"id":"ITEM-1","itemData":{"author":[{"dropping-particle":"","family":"Olausson","given":"M.","non-dropping-particle":"","parse-names":false,"suffix":""}],"id":"ITEM-1","issued":{"date-parts":[["2017"]]},"publisher":"Uppsala University","title":"Women’s perception of participation in NREGA, empowerment as a process of change.: A comparative Minor Field Study between two villages in Andhra Pradesh, India.","type":"thesis"},"uris":["http://www.mendeley.com/documents/?uuid=91aec2c1-36eb-4f7f-ba07-3e25ffcfcc57"]}],"mendeley":{"formattedCitation":"(Olausson, 2017)","plainTextFormattedCitation":"(Olausson, 2017)","previouslyFormattedCitation":"(Olausson, 2017)"},"properties":{"noteIndex":0},"schema":"https://github.com/citation-style-language/schema/raw/master/csl-citation.json"}</w:instrText>
      </w:r>
      <w:r w:rsidRPr="00CF2606">
        <w:rPr>
          <w:rFonts w:ascii="Times New Roman" w:hAnsi="Times New Roman" w:cs="Times New Roman"/>
          <w:sz w:val="22"/>
          <w:szCs w:val="22"/>
        </w:rPr>
        <w:fldChar w:fldCharType="separate"/>
      </w:r>
      <w:r w:rsidRPr="00CF2606">
        <w:rPr>
          <w:rFonts w:ascii="Times New Roman" w:hAnsi="Times New Roman" w:cs="Times New Roman"/>
          <w:noProof/>
          <w:sz w:val="22"/>
          <w:szCs w:val="22"/>
        </w:rPr>
        <w:t>(Olausson, 2017)</w:t>
      </w:r>
      <w:r w:rsidRPr="00CF2606">
        <w:rPr>
          <w:rFonts w:ascii="Times New Roman" w:hAnsi="Times New Roman" w:cs="Times New Roman"/>
          <w:sz w:val="22"/>
          <w:szCs w:val="22"/>
        </w:rPr>
        <w:fldChar w:fldCharType="end"/>
      </w:r>
      <w:r>
        <w:rPr>
          <w:rFonts w:ascii="Times New Roman" w:hAnsi="Times New Roman" w:cs="Times New Roman"/>
          <w:sz w:val="22"/>
          <w:szCs w:val="22"/>
        </w:rPr>
        <w:t>.</w:t>
      </w:r>
    </w:p>
  </w:footnote>
  <w:footnote w:id="39">
    <w:p w14:paraId="0039149B" w14:textId="667170D9" w:rsidR="003C31C2" w:rsidRDefault="003C31C2">
      <w:pPr>
        <w:pStyle w:val="Testonotaapidipagina"/>
      </w:pPr>
      <w:r>
        <w:rPr>
          <w:rStyle w:val="Rimandonotaapidipagina"/>
        </w:rPr>
        <w:footnoteRef/>
      </w:r>
      <w:r>
        <w:t xml:space="preserve"> Interview 6, Guntur district, October 2017.</w:t>
      </w:r>
    </w:p>
  </w:footnote>
  <w:footnote w:id="40">
    <w:p w14:paraId="779B81FD" w14:textId="677435D1" w:rsidR="003C31C2" w:rsidRDefault="003C31C2">
      <w:pPr>
        <w:pStyle w:val="Testonotaapidipagina"/>
      </w:pPr>
      <w:r>
        <w:rPr>
          <w:rStyle w:val="Rimandonotaapidipagina"/>
        </w:rPr>
        <w:footnoteRef/>
      </w:r>
      <w:r>
        <w:t xml:space="preserve"> Various interviews, </w:t>
      </w:r>
      <w:r>
        <w:t>Fathepur district, August 2016.</w:t>
      </w:r>
    </w:p>
  </w:footnote>
  <w:footnote w:id="41">
    <w:p w14:paraId="5633BF9E" w14:textId="19DA73F2" w:rsidR="003C31C2" w:rsidRPr="00CF2606" w:rsidRDefault="003C31C2" w:rsidP="00504C4D">
      <w:pPr>
        <w:pStyle w:val="Testonotaapidipagina"/>
        <w:rPr>
          <w:rFonts w:ascii="Times New Roman" w:hAnsi="Times New Roman" w:cs="Times New Roman"/>
          <w:color w:val="000000" w:themeColor="text1"/>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The Backward Castes are a group of castes that have been historically considered to be ‘lower caste’, although not ‘untouchable’. The state implements a set of positive discrimination policies for the BCs.</w:t>
      </w:r>
    </w:p>
  </w:footnote>
  <w:footnote w:id="42">
    <w:p w14:paraId="49114B46" w14:textId="15F31C0F" w:rsidR="003C31C2" w:rsidRDefault="003C31C2">
      <w:pPr>
        <w:pStyle w:val="Testonotaapidipagina"/>
      </w:pPr>
      <w:r>
        <w:rPr>
          <w:rStyle w:val="Rimandonotaapidipagina"/>
        </w:rPr>
        <w:footnoteRef/>
      </w:r>
      <w:r>
        <w:t xml:space="preserve"> Interview 2, </w:t>
      </w:r>
      <w:r>
        <w:t xml:space="preserve">Anantpur </w:t>
      </w:r>
      <w:r>
        <w:t>district , 17 January 2016.</w:t>
      </w:r>
    </w:p>
  </w:footnote>
  <w:footnote w:id="43">
    <w:p w14:paraId="4E833B2E" w14:textId="2F6AF5E8" w:rsidR="003C31C2" w:rsidRDefault="003C31C2">
      <w:pPr>
        <w:pStyle w:val="Testonotaapidipagina"/>
      </w:pPr>
      <w:r>
        <w:rPr>
          <w:rStyle w:val="Rimandonotaapidipagina"/>
        </w:rPr>
        <w:footnoteRef/>
      </w:r>
      <w:r>
        <w:t xml:space="preserve"> Interview 6, </w:t>
      </w:r>
      <w:r>
        <w:t>Anantpur district, 18 January 2016.</w:t>
      </w:r>
    </w:p>
  </w:footnote>
  <w:footnote w:id="44">
    <w:p w14:paraId="41713E64" w14:textId="1B2358B9" w:rsidR="003C31C2" w:rsidRDefault="003C31C2">
      <w:pPr>
        <w:pStyle w:val="Testonotaapidipagina"/>
      </w:pPr>
      <w:r>
        <w:rPr>
          <w:rStyle w:val="Rimandonotaapidipagina"/>
        </w:rPr>
        <w:footnoteRef/>
      </w:r>
      <w:r>
        <w:t xml:space="preserve"> Interviews 1-5, Guntur district, 18 February 2017.</w:t>
      </w:r>
    </w:p>
  </w:footnote>
  <w:footnote w:id="45">
    <w:p w14:paraId="655978FF" w14:textId="369B7E08" w:rsidR="003C31C2" w:rsidRDefault="003C31C2">
      <w:pPr>
        <w:pStyle w:val="Testonotaapidipagina"/>
      </w:pPr>
      <w:r>
        <w:rPr>
          <w:rStyle w:val="Rimandonotaapidipagina"/>
        </w:rPr>
        <w:footnoteRef/>
      </w:r>
      <w:r>
        <w:t xml:space="preserve"> </w:t>
      </w:r>
      <w:r>
        <w:rPr>
          <w:rFonts w:ascii="Times New Roman" w:hAnsi="Times New Roman" w:cs="Times New Roman"/>
          <w:color w:val="000000" w:themeColor="text1"/>
          <w:sz w:val="24"/>
          <w:szCs w:val="24"/>
        </w:rPr>
        <w:t>S</w:t>
      </w:r>
      <w:r w:rsidRPr="00FD33A1">
        <w:rPr>
          <w:rFonts w:ascii="Times New Roman" w:hAnsi="Times New Roman" w:cs="Times New Roman"/>
          <w:color w:val="000000" w:themeColor="text1"/>
          <w:sz w:val="24"/>
          <w:szCs w:val="24"/>
        </w:rPr>
        <w:t>eries of interviews in Fatehpur and Jhansi districts, January 2016, August 2016 and February 2017</w:t>
      </w:r>
      <w:r>
        <w:rPr>
          <w:rFonts w:ascii="Times New Roman" w:hAnsi="Times New Roman" w:cs="Times New Roman"/>
          <w:color w:val="000000" w:themeColor="text1"/>
          <w:sz w:val="24"/>
          <w:szCs w:val="24"/>
        </w:rPr>
        <w:t>.</w:t>
      </w:r>
    </w:p>
  </w:footnote>
  <w:footnote w:id="46">
    <w:p w14:paraId="1A4AE179"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color w:val="000000" w:themeColor="text1"/>
          <w:sz w:val="22"/>
          <w:szCs w:val="22"/>
        </w:rPr>
        <w:footnoteRef/>
      </w:r>
      <w:r w:rsidRPr="00CF2606">
        <w:rPr>
          <w:rFonts w:ascii="Times New Roman" w:hAnsi="Times New Roman" w:cs="Times New Roman"/>
          <w:color w:val="000000" w:themeColor="text1"/>
          <w:sz w:val="22"/>
          <w:szCs w:val="22"/>
        </w:rPr>
        <w:t xml:space="preserve"> All these are examples taken from our fieldwork.</w:t>
      </w:r>
    </w:p>
  </w:footnote>
  <w:footnote w:id="47">
    <w:p w14:paraId="45B8A6F7"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F</w:t>
      </w:r>
      <w:r w:rsidRPr="00CF2606">
        <w:rPr>
          <w:rFonts w:ascii="Times New Roman" w:hAnsi="Times New Roman" w:cs="Times New Roman"/>
          <w:color w:val="262626"/>
          <w:sz w:val="22"/>
          <w:szCs w:val="22"/>
        </w:rPr>
        <w:t>or an excellent overview of these strategies in Karnataka see Pattenden (2016), especially chapters 4 and 5.</w:t>
      </w:r>
    </w:p>
  </w:footnote>
  <w:footnote w:id="48">
    <w:p w14:paraId="7A53C812" w14:textId="7A15D7ED" w:rsidR="003C31C2" w:rsidRDefault="003C31C2">
      <w:pPr>
        <w:pStyle w:val="Testonotaapidipagina"/>
      </w:pPr>
      <w:r>
        <w:rPr>
          <w:rStyle w:val="Rimandonotaapidipagina"/>
        </w:rPr>
        <w:footnoteRef/>
      </w:r>
      <w:r>
        <w:t xml:space="preserve"> Interview</w:t>
      </w:r>
      <w:r w:rsidR="000C7285">
        <w:t xml:space="preserve"> 18</w:t>
      </w:r>
      <w:r>
        <w:t xml:space="preserve">, </w:t>
      </w:r>
      <w:r w:rsidRPr="00FD33A1">
        <w:rPr>
          <w:rFonts w:ascii="Times New Roman" w:hAnsi="Times New Roman" w:cs="Times New Roman"/>
          <w:color w:val="000000" w:themeColor="text1"/>
          <w:sz w:val="24"/>
          <w:szCs w:val="24"/>
        </w:rPr>
        <w:t>Guntur district</w:t>
      </w:r>
      <w:r>
        <w:rPr>
          <w:rFonts w:ascii="Times New Roman" w:hAnsi="Times New Roman" w:cs="Times New Roman"/>
          <w:color w:val="000000" w:themeColor="text1"/>
          <w:sz w:val="24"/>
          <w:szCs w:val="24"/>
        </w:rPr>
        <w:t>,</w:t>
      </w:r>
      <w:r>
        <w:t xml:space="preserve"> 18 </w:t>
      </w:r>
      <w:r w:rsidRPr="00FD33A1">
        <w:rPr>
          <w:rFonts w:ascii="Times New Roman" w:hAnsi="Times New Roman" w:cs="Times New Roman"/>
          <w:color w:val="000000" w:themeColor="text1"/>
          <w:sz w:val="24"/>
          <w:szCs w:val="24"/>
        </w:rPr>
        <w:t>February 2017</w:t>
      </w:r>
      <w:r>
        <w:rPr>
          <w:rFonts w:ascii="Times New Roman" w:hAnsi="Times New Roman" w:cs="Times New Roman"/>
          <w:color w:val="000000" w:themeColor="text1"/>
          <w:sz w:val="24"/>
          <w:szCs w:val="24"/>
        </w:rPr>
        <w:t>.</w:t>
      </w:r>
    </w:p>
  </w:footnote>
  <w:footnote w:id="49">
    <w:p w14:paraId="16A99A92" w14:textId="66EACE61" w:rsidR="003C31C2" w:rsidRDefault="003C31C2">
      <w:pPr>
        <w:pStyle w:val="Testonotaapidipagina"/>
      </w:pPr>
      <w:r>
        <w:rPr>
          <w:rStyle w:val="Rimandonotaapidipagina"/>
        </w:rPr>
        <w:footnoteRef/>
      </w:r>
      <w:r>
        <w:t xml:space="preserve"> Interview</w:t>
      </w:r>
      <w:r w:rsidR="000C7285">
        <w:t xml:space="preserve"> 40</w:t>
      </w:r>
      <w:r>
        <w:t xml:space="preserve">, </w:t>
      </w:r>
      <w:r>
        <w:t>Anantpur district, 6 January 2017.</w:t>
      </w:r>
    </w:p>
  </w:footnote>
  <w:footnote w:id="50">
    <w:p w14:paraId="57EA1A8F" w14:textId="77777777" w:rsidR="003C31C2" w:rsidRPr="00CF2606" w:rsidRDefault="003C31C2" w:rsidP="00504C4D">
      <w:pPr>
        <w:pStyle w:val="Testonotaapidipagina"/>
        <w:rPr>
          <w:rFonts w:ascii="Times New Roman" w:hAnsi="Times New Roman" w:cs="Times New Roman"/>
          <w:sz w:val="22"/>
          <w:szCs w:val="22"/>
        </w:rPr>
      </w:pPr>
      <w:r w:rsidRPr="00CF2606">
        <w:rPr>
          <w:rStyle w:val="Rimandonotaapidipagina"/>
          <w:rFonts w:ascii="Times New Roman" w:hAnsi="Times New Roman" w:cs="Times New Roman"/>
          <w:sz w:val="22"/>
          <w:szCs w:val="22"/>
        </w:rPr>
        <w:footnoteRef/>
      </w:r>
      <w:r w:rsidRPr="00CF2606">
        <w:rPr>
          <w:rFonts w:ascii="Times New Roman" w:hAnsi="Times New Roman" w:cs="Times New Roman"/>
          <w:sz w:val="22"/>
          <w:szCs w:val="22"/>
        </w:rPr>
        <w:t xml:space="preserve"> Kammas are the dominant landed caste in that village.</w:t>
      </w:r>
    </w:p>
  </w:footnote>
  <w:footnote w:id="51">
    <w:p w14:paraId="1F66792C" w14:textId="06C4BC44" w:rsidR="003C31C2" w:rsidRDefault="003C31C2">
      <w:pPr>
        <w:pStyle w:val="Testonotaapidipagina"/>
      </w:pPr>
      <w:r>
        <w:rPr>
          <w:rStyle w:val="Rimandonotaapidipagina"/>
        </w:rPr>
        <w:footnoteRef/>
      </w:r>
      <w:r>
        <w:t xml:space="preserve"> Interview</w:t>
      </w:r>
      <w:r w:rsidR="000C7285">
        <w:t xml:space="preserve"> 27</w:t>
      </w:r>
      <w:r>
        <w:t>, Guntur district, 19 February 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9CF11" w14:textId="63158332" w:rsidR="003C31C2" w:rsidRDefault="003C31C2" w:rsidP="00504C4D">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934CE3"/>
    <w:multiLevelType w:val="hybridMultilevel"/>
    <w:tmpl w:val="D892E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AC427EB"/>
    <w:multiLevelType w:val="hybridMultilevel"/>
    <w:tmpl w:val="4BE87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C4D"/>
    <w:rsid w:val="000B2C6F"/>
    <w:rsid w:val="000C7285"/>
    <w:rsid w:val="001D0D42"/>
    <w:rsid w:val="00234EC5"/>
    <w:rsid w:val="002418F6"/>
    <w:rsid w:val="002F7171"/>
    <w:rsid w:val="00336945"/>
    <w:rsid w:val="003414DF"/>
    <w:rsid w:val="00367D4A"/>
    <w:rsid w:val="003C31C2"/>
    <w:rsid w:val="003E3F8D"/>
    <w:rsid w:val="004820EA"/>
    <w:rsid w:val="00486CFA"/>
    <w:rsid w:val="00504C4D"/>
    <w:rsid w:val="0051007D"/>
    <w:rsid w:val="00580C4B"/>
    <w:rsid w:val="00611005"/>
    <w:rsid w:val="0061371B"/>
    <w:rsid w:val="006A34E9"/>
    <w:rsid w:val="007E275C"/>
    <w:rsid w:val="0089738C"/>
    <w:rsid w:val="008B1ECD"/>
    <w:rsid w:val="009938F7"/>
    <w:rsid w:val="009A5798"/>
    <w:rsid w:val="009D79B3"/>
    <w:rsid w:val="00A01E95"/>
    <w:rsid w:val="00A41ACD"/>
    <w:rsid w:val="00A60A50"/>
    <w:rsid w:val="00B33AFC"/>
    <w:rsid w:val="00BC0D1F"/>
    <w:rsid w:val="00C828D3"/>
    <w:rsid w:val="00CF2606"/>
    <w:rsid w:val="00D567B7"/>
    <w:rsid w:val="00D63ADE"/>
    <w:rsid w:val="00D817E7"/>
    <w:rsid w:val="00DC325F"/>
    <w:rsid w:val="00E068E5"/>
    <w:rsid w:val="00E17D06"/>
    <w:rsid w:val="00E54184"/>
    <w:rsid w:val="00E542FF"/>
    <w:rsid w:val="00EA0870"/>
    <w:rsid w:val="00EC784A"/>
    <w:rsid w:val="00EF7768"/>
    <w:rsid w:val="00F90ECF"/>
    <w:rsid w:val="00FD33A1"/>
  </w:rsids>
  <m:mathPr>
    <m:mathFont m:val="Cambria Math"/>
    <m:brkBin m:val="before"/>
    <m:brkBinSub m:val="--"/>
    <m:smallFrac m:val="0"/>
    <m:dispDef/>
    <m:lMargin m:val="0"/>
    <m:rMargin m:val="0"/>
    <m:defJc m:val="centerGroup"/>
    <m:wrapIndent m:val="1440"/>
    <m:intLim m:val="subSup"/>
    <m:naryLim m:val="undOvr"/>
  </m:mathPr>
  <w:themeFontLang w:val="it-IT"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74685F"/>
  <w15:chartTrackingRefBased/>
  <w15:docId w15:val="{29AD2996-FEF9-1F43-9268-A8583297C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e">
    <w:name w:val="Normal"/>
    <w:qFormat/>
    <w:rsid w:val="00504C4D"/>
    <w:rPr>
      <w:rFonts w:eastAsiaTheme="minorEastAsia"/>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estonotadichiusuraCarattere">
    <w:name w:val="Testo nota di chiusura Carattere"/>
    <w:basedOn w:val="Carpredefinitoparagrafo"/>
    <w:link w:val="Testonotadichiusura"/>
    <w:uiPriority w:val="99"/>
    <w:semiHidden/>
    <w:rsid w:val="00504C4D"/>
    <w:rPr>
      <w:rFonts w:eastAsiaTheme="minorEastAsia"/>
      <w:sz w:val="20"/>
      <w:szCs w:val="20"/>
      <w:lang w:val="en-GB"/>
    </w:rPr>
  </w:style>
  <w:style w:type="paragraph" w:styleId="Testonotadichiusura">
    <w:name w:val="endnote text"/>
    <w:basedOn w:val="Normale"/>
    <w:link w:val="TestonotadichiusuraCarattere"/>
    <w:uiPriority w:val="99"/>
    <w:semiHidden/>
    <w:unhideWhenUsed/>
    <w:rsid w:val="00504C4D"/>
    <w:rPr>
      <w:sz w:val="20"/>
      <w:szCs w:val="20"/>
    </w:rPr>
  </w:style>
  <w:style w:type="character" w:customStyle="1" w:styleId="apple-converted-space">
    <w:name w:val="apple-converted-space"/>
    <w:basedOn w:val="Carpredefinitoparagrafo"/>
    <w:rsid w:val="00504C4D"/>
  </w:style>
  <w:style w:type="paragraph" w:styleId="Testonotaapidipagina">
    <w:name w:val="footnote text"/>
    <w:basedOn w:val="Normale"/>
    <w:link w:val="TestonotaapidipaginaCarattere"/>
    <w:uiPriority w:val="99"/>
    <w:unhideWhenUsed/>
    <w:rsid w:val="00504C4D"/>
    <w:rPr>
      <w:sz w:val="20"/>
      <w:szCs w:val="20"/>
    </w:rPr>
  </w:style>
  <w:style w:type="character" w:customStyle="1" w:styleId="TestonotaapidipaginaCarattere">
    <w:name w:val="Testo nota a piè di pagina Carattere"/>
    <w:basedOn w:val="Carpredefinitoparagrafo"/>
    <w:link w:val="Testonotaapidipagina"/>
    <w:uiPriority w:val="99"/>
    <w:rsid w:val="00504C4D"/>
    <w:rPr>
      <w:rFonts w:eastAsiaTheme="minorEastAsia"/>
      <w:sz w:val="20"/>
      <w:szCs w:val="20"/>
      <w:lang w:val="en-GB"/>
    </w:rPr>
  </w:style>
  <w:style w:type="character" w:styleId="Rimandonotaapidipagina">
    <w:name w:val="footnote reference"/>
    <w:basedOn w:val="Carpredefinitoparagrafo"/>
    <w:uiPriority w:val="99"/>
    <w:unhideWhenUsed/>
    <w:rsid w:val="00504C4D"/>
    <w:rPr>
      <w:vertAlign w:val="superscript"/>
    </w:rPr>
  </w:style>
  <w:style w:type="character" w:styleId="Rimandocommento">
    <w:name w:val="annotation reference"/>
    <w:basedOn w:val="Carpredefinitoparagrafo"/>
    <w:uiPriority w:val="99"/>
    <w:semiHidden/>
    <w:unhideWhenUsed/>
    <w:rsid w:val="00504C4D"/>
    <w:rPr>
      <w:sz w:val="16"/>
      <w:szCs w:val="16"/>
    </w:rPr>
  </w:style>
  <w:style w:type="paragraph" w:styleId="Testocommento">
    <w:name w:val="annotation text"/>
    <w:basedOn w:val="Normale"/>
    <w:link w:val="TestocommentoCarattere"/>
    <w:uiPriority w:val="99"/>
    <w:unhideWhenUsed/>
    <w:rsid w:val="00504C4D"/>
    <w:pPr>
      <w:spacing w:after="200"/>
    </w:pPr>
    <w:rPr>
      <w:rFonts w:eastAsiaTheme="minorHAnsi"/>
      <w:sz w:val="20"/>
      <w:szCs w:val="20"/>
      <w:lang w:val="sv-SE"/>
    </w:rPr>
  </w:style>
  <w:style w:type="character" w:customStyle="1" w:styleId="TestocommentoCarattere">
    <w:name w:val="Testo commento Carattere"/>
    <w:basedOn w:val="Carpredefinitoparagrafo"/>
    <w:link w:val="Testocommento"/>
    <w:uiPriority w:val="99"/>
    <w:rsid w:val="00504C4D"/>
    <w:rPr>
      <w:sz w:val="20"/>
      <w:szCs w:val="20"/>
      <w:lang w:val="sv-SE"/>
    </w:rPr>
  </w:style>
  <w:style w:type="character" w:customStyle="1" w:styleId="TestofumettoCarattere">
    <w:name w:val="Testo fumetto Carattere"/>
    <w:basedOn w:val="Carpredefinitoparagrafo"/>
    <w:link w:val="Testofumetto"/>
    <w:uiPriority w:val="99"/>
    <w:semiHidden/>
    <w:rsid w:val="00504C4D"/>
    <w:rPr>
      <w:rFonts w:ascii="Segoe UI" w:eastAsiaTheme="minorEastAsia" w:hAnsi="Segoe UI" w:cs="Segoe UI"/>
      <w:sz w:val="18"/>
      <w:szCs w:val="18"/>
      <w:lang w:val="en-GB"/>
    </w:rPr>
  </w:style>
  <w:style w:type="paragraph" w:styleId="Testofumetto">
    <w:name w:val="Balloon Text"/>
    <w:basedOn w:val="Normale"/>
    <w:link w:val="TestofumettoCarattere"/>
    <w:uiPriority w:val="99"/>
    <w:semiHidden/>
    <w:unhideWhenUsed/>
    <w:rsid w:val="00504C4D"/>
    <w:rPr>
      <w:rFonts w:ascii="Segoe UI" w:hAnsi="Segoe UI" w:cs="Segoe UI"/>
      <w:sz w:val="18"/>
      <w:szCs w:val="18"/>
    </w:rPr>
  </w:style>
  <w:style w:type="paragraph" w:styleId="Paragrafoelenco">
    <w:name w:val="List Paragraph"/>
    <w:basedOn w:val="Normale"/>
    <w:uiPriority w:val="34"/>
    <w:qFormat/>
    <w:rsid w:val="00504C4D"/>
    <w:pPr>
      <w:ind w:left="720"/>
      <w:contextualSpacing/>
    </w:pPr>
  </w:style>
  <w:style w:type="character" w:customStyle="1" w:styleId="SoggettocommentoCarattere">
    <w:name w:val="Soggetto commento Carattere"/>
    <w:basedOn w:val="TestocommentoCarattere"/>
    <w:link w:val="Soggettocommento"/>
    <w:uiPriority w:val="99"/>
    <w:semiHidden/>
    <w:rsid w:val="00504C4D"/>
    <w:rPr>
      <w:rFonts w:eastAsiaTheme="minorEastAsia"/>
      <w:b/>
      <w:bCs/>
      <w:sz w:val="20"/>
      <w:szCs w:val="20"/>
      <w:lang w:val="en-GB"/>
    </w:rPr>
  </w:style>
  <w:style w:type="paragraph" w:styleId="Soggettocommento">
    <w:name w:val="annotation subject"/>
    <w:basedOn w:val="Testocommento"/>
    <w:next w:val="Testocommento"/>
    <w:link w:val="SoggettocommentoCarattere"/>
    <w:uiPriority w:val="99"/>
    <w:semiHidden/>
    <w:unhideWhenUsed/>
    <w:rsid w:val="00504C4D"/>
    <w:pPr>
      <w:spacing w:after="0"/>
    </w:pPr>
    <w:rPr>
      <w:rFonts w:eastAsiaTheme="minorEastAsia"/>
      <w:b/>
      <w:bCs/>
      <w:lang w:val="en-GB"/>
    </w:rPr>
  </w:style>
  <w:style w:type="paragraph" w:styleId="Intestazione">
    <w:name w:val="header"/>
    <w:basedOn w:val="Normale"/>
    <w:link w:val="IntestazioneCarattere"/>
    <w:uiPriority w:val="99"/>
    <w:unhideWhenUsed/>
    <w:rsid w:val="00504C4D"/>
    <w:pPr>
      <w:tabs>
        <w:tab w:val="center" w:pos="4513"/>
        <w:tab w:val="right" w:pos="9026"/>
      </w:tabs>
    </w:pPr>
  </w:style>
  <w:style w:type="character" w:customStyle="1" w:styleId="IntestazioneCarattere">
    <w:name w:val="Intestazione Carattere"/>
    <w:basedOn w:val="Carpredefinitoparagrafo"/>
    <w:link w:val="Intestazione"/>
    <w:uiPriority w:val="99"/>
    <w:rsid w:val="00504C4D"/>
    <w:rPr>
      <w:rFonts w:eastAsiaTheme="minorEastAsia"/>
      <w:lang w:val="en-GB"/>
    </w:rPr>
  </w:style>
  <w:style w:type="paragraph" w:styleId="Pidipagina">
    <w:name w:val="footer"/>
    <w:basedOn w:val="Normale"/>
    <w:link w:val="PidipaginaCarattere"/>
    <w:uiPriority w:val="99"/>
    <w:unhideWhenUsed/>
    <w:rsid w:val="00504C4D"/>
    <w:pPr>
      <w:tabs>
        <w:tab w:val="center" w:pos="4513"/>
        <w:tab w:val="right" w:pos="9026"/>
      </w:tabs>
    </w:pPr>
  </w:style>
  <w:style w:type="character" w:customStyle="1" w:styleId="PidipaginaCarattere">
    <w:name w:val="Piè di pagina Carattere"/>
    <w:basedOn w:val="Carpredefinitoparagrafo"/>
    <w:link w:val="Pidipagina"/>
    <w:uiPriority w:val="99"/>
    <w:rsid w:val="00504C4D"/>
    <w:rPr>
      <w:rFonts w:eastAsiaTheme="minorEastAsia"/>
      <w:lang w:val="en-GB"/>
    </w:rPr>
  </w:style>
  <w:style w:type="character" w:customStyle="1" w:styleId="CorpotestoCarattere">
    <w:name w:val="Corpo testo Carattere"/>
    <w:basedOn w:val="Carpredefinitoparagrafo"/>
    <w:link w:val="Corpotesto"/>
    <w:semiHidden/>
    <w:rsid w:val="00504C4D"/>
    <w:rPr>
      <w:rFonts w:ascii="Times New Roman" w:eastAsia="Times New Roman" w:hAnsi="Times New Roman" w:cs="Times New Roman"/>
      <w:szCs w:val="20"/>
      <w:lang w:val="en-GB"/>
    </w:rPr>
  </w:style>
  <w:style w:type="paragraph" w:styleId="Corpotesto">
    <w:name w:val="Body Text"/>
    <w:basedOn w:val="Normale"/>
    <w:link w:val="CorpotestoCarattere"/>
    <w:semiHidden/>
    <w:rsid w:val="00504C4D"/>
    <w:rPr>
      <w:rFonts w:ascii="Times New Roman" w:eastAsia="Times New Roman" w:hAnsi="Times New Roman" w:cs="Times New Roman"/>
      <w:szCs w:val="20"/>
    </w:rPr>
  </w:style>
  <w:style w:type="character" w:styleId="Numeropagina">
    <w:name w:val="page number"/>
    <w:basedOn w:val="Carpredefinitoparagrafo"/>
    <w:uiPriority w:val="99"/>
    <w:semiHidden/>
    <w:unhideWhenUsed/>
    <w:rsid w:val="00504C4D"/>
  </w:style>
  <w:style w:type="table" w:styleId="Grigliatabella">
    <w:name w:val="Table Grid"/>
    <w:basedOn w:val="Tabellanormale"/>
    <w:uiPriority w:val="39"/>
    <w:rsid w:val="00504C4D"/>
    <w:rPr>
      <w:rFonts w:ascii="Verdana" w:hAnsi="Verdana"/>
      <w:sz w:val="20"/>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504C4D"/>
    <w:rPr>
      <w:color w:val="0563C1" w:themeColor="hyperlink"/>
      <w:u w:val="single"/>
    </w:rPr>
  </w:style>
  <w:style w:type="character" w:styleId="Enfasicorsivo">
    <w:name w:val="Emphasis"/>
    <w:basedOn w:val="Carpredefinitoparagrafo"/>
    <w:uiPriority w:val="20"/>
    <w:qFormat/>
    <w:rsid w:val="00504C4D"/>
    <w:rPr>
      <w:i/>
      <w:iCs/>
    </w:rPr>
  </w:style>
  <w:style w:type="character" w:styleId="Enfasigrassetto">
    <w:name w:val="Strong"/>
    <w:basedOn w:val="Carpredefinitoparagrafo"/>
    <w:uiPriority w:val="22"/>
    <w:qFormat/>
    <w:rsid w:val="00504C4D"/>
    <w:rPr>
      <w:b/>
      <w:bCs/>
    </w:rPr>
  </w:style>
  <w:style w:type="paragraph" w:customStyle="1" w:styleId="Default">
    <w:name w:val="Default"/>
    <w:rsid w:val="00504C4D"/>
    <w:pPr>
      <w:autoSpaceDE w:val="0"/>
      <w:autoSpaceDN w:val="0"/>
      <w:adjustRightInd w:val="0"/>
    </w:pPr>
    <w:rPr>
      <w:rFonts w:ascii="EPWCharter" w:hAnsi="EPWCharter" w:cs="EPWCharter"/>
      <w:color w:val="00000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134496">
      <w:bodyDiv w:val="1"/>
      <w:marLeft w:val="0"/>
      <w:marRight w:val="0"/>
      <w:marTop w:val="0"/>
      <w:marBottom w:val="0"/>
      <w:divBdr>
        <w:top w:val="none" w:sz="0" w:space="0" w:color="auto"/>
        <w:left w:val="none" w:sz="0" w:space="0" w:color="auto"/>
        <w:bottom w:val="none" w:sz="0" w:space="0" w:color="auto"/>
        <w:right w:val="none" w:sz="0" w:space="0" w:color="auto"/>
      </w:divBdr>
    </w:div>
    <w:div w:id="1911886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dech.1265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nytimes.com/2018/07/13/business/think-positive-climb-out-of-poverty-it-just-might-work.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FD0662-750F-B04C-B837-C326333EC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39</Pages>
  <Words>29169</Words>
  <Characters>166266</Characters>
  <Application>Microsoft Office Word</Application>
  <DocSecurity>0</DocSecurity>
  <Lines>1385</Lines>
  <Paragraphs>390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Maiorano, Diego</dc:creator>
  <cp:keywords/>
  <dc:description/>
  <cp:lastModifiedBy>Diego Maiorano</cp:lastModifiedBy>
  <cp:revision>12</cp:revision>
  <dcterms:created xsi:type="dcterms:W3CDTF">2021-02-02T01:31:00Z</dcterms:created>
  <dcterms:modified xsi:type="dcterms:W3CDTF">2022-03-11T11:30:00Z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http://csl.mendeley.com/styles/27901501/apa-2</vt:lpwstr>
  </property>
  <property fmtid="{D5CDD505-2E9C-101B-9397-08002B2CF9AE}" pid="9" name="Mendeley Recent Style Name 3_1">
    <vt:lpwstr>American Psychological Association 6th edition - Diego Maiorano</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ae468f6e-deb6-3a4d-be26-1cb2d3a9c8e9</vt:lpwstr>
  </property>
  <property fmtid="{D5CDD505-2E9C-101B-9397-08002B2CF9AE}" pid="24" name="Mendeley Citation Style_1">
    <vt:lpwstr>http://csl.mendeley.com/styles/27901501/apa-2</vt:lpwstr>
  </property>
</Properties>
</file>