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B33FCF" w14:textId="77777777" w:rsidR="00FE7B70" w:rsidRDefault="00000000">
      <w:pPr>
        <w:pStyle w:val="Title"/>
        <w:rPr>
          <w:rFonts w:ascii="Arial" w:hAnsi="Arial" w:cs="Arial"/>
          <w:caps/>
          <w:sz w:val="20"/>
          <w:szCs w:val="20"/>
        </w:rPr>
      </w:pPr>
      <w:r>
        <w:rPr>
          <w:rFonts w:ascii="Arial" w:hAnsi="Arial"/>
          <w:sz w:val="36"/>
          <w:szCs w:val="36"/>
        </w:rPr>
        <w:t>«</w:t>
      </w:r>
      <w:r>
        <w:rPr>
          <w:rFonts w:ascii="Arial" w:hAnsi="Arial" w:cs="Arial"/>
          <w:sz w:val="36"/>
          <w:szCs w:val="36"/>
        </w:rPr>
        <w:t>È un lavoro complesso</w:t>
      </w:r>
      <w:r>
        <w:rPr>
          <w:rFonts w:ascii="Arial" w:hAnsi="Arial"/>
          <w:sz w:val="36"/>
          <w:szCs w:val="36"/>
        </w:rPr>
        <w:t>»</w:t>
      </w:r>
    </w:p>
    <w:p w14:paraId="3DA3EF98" w14:textId="77777777" w:rsidR="00FE7B70" w:rsidRDefault="00000000">
      <w:pPr>
        <w:jc w:val="center"/>
        <w:rPr>
          <w:rFonts w:ascii="Arial" w:hAnsi="Arial" w:cs="Arial"/>
          <w:b/>
          <w:bCs/>
          <w:sz w:val="20"/>
          <w:szCs w:val="20"/>
        </w:rPr>
      </w:pPr>
      <w:r>
        <w:rPr>
          <w:rFonts w:ascii="Arial" w:hAnsi="Arial" w:cs="Arial"/>
          <w:b/>
          <w:bCs/>
          <w:sz w:val="36"/>
          <w:szCs w:val="36"/>
        </w:rPr>
        <w:t>Per un nuovo cantiere di ricerca su microstoria globale e storia sociale</w:t>
      </w:r>
    </w:p>
    <w:p w14:paraId="552B7CC0" w14:textId="77777777" w:rsidR="00FE7B70" w:rsidRDefault="00FE7B70">
      <w:pPr>
        <w:rPr>
          <w:rFonts w:ascii="Arial" w:hAnsi="Arial" w:cs="Arial"/>
          <w:b/>
          <w:bCs/>
          <w:sz w:val="20"/>
          <w:szCs w:val="20"/>
        </w:rPr>
      </w:pPr>
    </w:p>
    <w:p w14:paraId="005DA620" w14:textId="77777777" w:rsidR="00FE7B70" w:rsidRDefault="00000000">
      <w:pPr>
        <w:rPr>
          <w:rFonts w:ascii="Arial" w:hAnsi="Arial" w:cs="Arial"/>
          <w:b/>
          <w:bCs/>
          <w:sz w:val="20"/>
          <w:szCs w:val="20"/>
        </w:rPr>
      </w:pPr>
      <w:r>
        <w:rPr>
          <w:rFonts w:ascii="Arial" w:hAnsi="Arial" w:cs="Arial"/>
          <w:b/>
          <w:bCs/>
          <w:sz w:val="20"/>
          <w:szCs w:val="20"/>
        </w:rPr>
        <w:t xml:space="preserve">(a cura di Andrea </w:t>
      </w:r>
      <w:proofErr w:type="spellStart"/>
      <w:r>
        <w:rPr>
          <w:rFonts w:ascii="Arial" w:hAnsi="Arial" w:cs="Arial"/>
          <w:b/>
          <w:bCs/>
          <w:sz w:val="20"/>
          <w:szCs w:val="20"/>
        </w:rPr>
        <w:t>Brazzoduro</w:t>
      </w:r>
      <w:proofErr w:type="spellEnd"/>
      <w:r>
        <w:rPr>
          <w:rFonts w:ascii="Arial" w:hAnsi="Arial" w:cs="Arial"/>
          <w:b/>
          <w:bCs/>
          <w:sz w:val="20"/>
          <w:szCs w:val="20"/>
        </w:rPr>
        <w:t xml:space="preserve">) </w:t>
      </w:r>
    </w:p>
    <w:p w14:paraId="23BABAF8" w14:textId="77777777" w:rsidR="00FE7B70" w:rsidRDefault="00FE7B70">
      <w:pPr>
        <w:rPr>
          <w:rFonts w:ascii="Arial" w:hAnsi="Arial" w:cs="Arial"/>
          <w:sz w:val="20"/>
          <w:szCs w:val="20"/>
        </w:rPr>
      </w:pPr>
    </w:p>
    <w:p w14:paraId="4DA38F6A" w14:textId="77777777" w:rsidR="00FE7B70" w:rsidRDefault="00000000">
      <w:pPr>
        <w:rPr>
          <w:rFonts w:ascii="Arial" w:hAnsi="Arial" w:cs="Arial"/>
          <w:sz w:val="20"/>
          <w:szCs w:val="20"/>
        </w:rPr>
      </w:pPr>
      <w:r>
        <w:rPr>
          <w:rFonts w:ascii="Arial" w:hAnsi="Arial" w:cs="Arial"/>
          <w:sz w:val="20"/>
          <w:szCs w:val="20"/>
        </w:rPr>
        <w:t xml:space="preserve">Christian De Vito è tra gli storici sociali più originali della sua generazione. Dopo aver studiato la stagione della conflittualità in Italia – e in particolare il carcere, l’antipsichiatria e il cristianesimo di base (De Vito 2009, 2010, 2011) – negli anni più recenti è stato uno dei promotori a livello internazionale della global labour history, anche attraverso l’International institute of social history di Amsterdam (De Vito 2012, 2018). Si occupa oggi soprattutto di storia sociale della pena e del lavoro, con un ampio progetto di ricerca incentrato sull’impero spagnolo. In questa prospettiva è intervenuto autorevolmente nel dibattito fiorito intorno alla proposta della global history, proponendone una combinazione con la microstoria dalle inedite implicazioni epistemologiche e politiche. Dal 2023 è a Vienna, dove insegna Global </w:t>
      </w:r>
      <w:proofErr w:type="spellStart"/>
      <w:r>
        <w:rPr>
          <w:rFonts w:ascii="Arial" w:hAnsi="Arial" w:cs="Arial"/>
          <w:sz w:val="20"/>
          <w:szCs w:val="20"/>
        </w:rPr>
        <w:t>Economic</w:t>
      </w:r>
      <w:proofErr w:type="spellEnd"/>
      <w:r>
        <w:rPr>
          <w:rFonts w:ascii="Arial" w:hAnsi="Arial" w:cs="Arial"/>
          <w:sz w:val="20"/>
          <w:szCs w:val="20"/>
        </w:rPr>
        <w:t xml:space="preserve"> and Social History. </w:t>
      </w:r>
    </w:p>
    <w:p w14:paraId="16C1BD23" w14:textId="77777777" w:rsidR="00FE7B70" w:rsidRDefault="00FE7B70">
      <w:pPr>
        <w:rPr>
          <w:rFonts w:ascii="Arial" w:hAnsi="Arial" w:cs="Arial"/>
          <w:sz w:val="20"/>
          <w:szCs w:val="20"/>
        </w:rPr>
      </w:pPr>
    </w:p>
    <w:p w14:paraId="2181A336" w14:textId="77777777" w:rsidR="00FE7B70" w:rsidRDefault="00000000">
      <w:pPr>
        <w:rPr>
          <w:rFonts w:ascii="Arial" w:hAnsi="Arial" w:cs="Arial"/>
          <w:i/>
          <w:iCs/>
          <w:sz w:val="20"/>
          <w:szCs w:val="20"/>
        </w:rPr>
      </w:pPr>
      <w:r>
        <w:rPr>
          <w:rFonts w:ascii="Arial" w:hAnsi="Arial" w:cs="Arial"/>
          <w:sz w:val="20"/>
          <w:szCs w:val="20"/>
        </w:rPr>
        <w:t xml:space="preserve">? </w:t>
      </w:r>
      <w:r>
        <w:rPr>
          <w:rFonts w:ascii="Arial" w:hAnsi="Arial" w:cs="Arial"/>
          <w:i/>
          <w:iCs/>
          <w:sz w:val="20"/>
          <w:szCs w:val="20"/>
        </w:rPr>
        <w:t xml:space="preserve">Negli ultimi dieci-venti anni, la migliore storiografia sulle culture politiche europee del XX secolo si è profondamente rinnovata, seguendo – più o meno convintamente – l’indicazione provocatoria che uno storico indiano, </w:t>
      </w:r>
      <w:proofErr w:type="spellStart"/>
      <w:r>
        <w:rPr>
          <w:rFonts w:ascii="Arial" w:hAnsi="Arial" w:cs="Arial"/>
          <w:i/>
          <w:iCs/>
          <w:sz w:val="20"/>
          <w:szCs w:val="20"/>
        </w:rPr>
        <w:t>Dipesh</w:t>
      </w:r>
      <w:proofErr w:type="spellEnd"/>
      <w:r>
        <w:rPr>
          <w:rFonts w:ascii="Arial" w:hAnsi="Arial" w:cs="Arial"/>
          <w:i/>
          <w:iCs/>
          <w:sz w:val="20"/>
          <w:szCs w:val="20"/>
        </w:rPr>
        <w:t xml:space="preserve"> </w:t>
      </w:r>
      <w:proofErr w:type="spellStart"/>
      <w:r>
        <w:rPr>
          <w:rFonts w:ascii="Arial" w:hAnsi="Arial" w:cs="Arial"/>
          <w:i/>
          <w:iCs/>
          <w:sz w:val="20"/>
          <w:szCs w:val="20"/>
        </w:rPr>
        <w:t>Chakrabarty</w:t>
      </w:r>
      <w:proofErr w:type="spellEnd"/>
      <w:r>
        <w:rPr>
          <w:rFonts w:ascii="Arial" w:hAnsi="Arial" w:cs="Arial"/>
          <w:i/>
          <w:iCs/>
          <w:sz w:val="20"/>
          <w:szCs w:val="20"/>
        </w:rPr>
        <w:t>, dava sin dal titolo di un suo volume:</w:t>
      </w:r>
      <w:r>
        <w:rPr>
          <w:rFonts w:ascii="Arial" w:hAnsi="Arial" w:cs="Arial"/>
          <w:sz w:val="20"/>
          <w:szCs w:val="20"/>
        </w:rPr>
        <w:t xml:space="preserve"> </w:t>
      </w:r>
      <w:r>
        <w:rPr>
          <w:rFonts w:ascii="Arial" w:hAnsi="Arial" w:cs="Arial"/>
          <w:i/>
          <w:iCs/>
          <w:sz w:val="20"/>
          <w:szCs w:val="20"/>
        </w:rPr>
        <w:t>e cioè quella di «provincializzare l’Europa» (</w:t>
      </w:r>
      <w:proofErr w:type="spellStart"/>
      <w:r>
        <w:rPr>
          <w:rFonts w:ascii="Arial" w:hAnsi="Arial" w:cs="Arial"/>
          <w:i/>
          <w:iCs/>
          <w:sz w:val="20"/>
          <w:szCs w:val="20"/>
        </w:rPr>
        <w:t>Chakrabarty</w:t>
      </w:r>
      <w:proofErr w:type="spellEnd"/>
      <w:r>
        <w:rPr>
          <w:rFonts w:ascii="Arial" w:hAnsi="Arial" w:cs="Arial"/>
          <w:i/>
          <w:iCs/>
          <w:sz w:val="20"/>
          <w:szCs w:val="20"/>
        </w:rPr>
        <w:t xml:space="preserve"> 2000: sul numero 51 di «</w:t>
      </w:r>
      <w:proofErr w:type="spellStart"/>
      <w:r>
        <w:rPr>
          <w:rFonts w:ascii="Arial" w:hAnsi="Arial" w:cs="Arial"/>
          <w:i/>
          <w:iCs/>
          <w:sz w:val="20"/>
          <w:szCs w:val="20"/>
        </w:rPr>
        <w:t>Zapruder</w:t>
      </w:r>
      <w:proofErr w:type="spellEnd"/>
      <w:r>
        <w:rPr>
          <w:rFonts w:ascii="Arial" w:hAnsi="Arial" w:cs="Arial"/>
          <w:i/>
          <w:iCs/>
          <w:sz w:val="20"/>
          <w:szCs w:val="20"/>
        </w:rPr>
        <w:t xml:space="preserve">» trovate un’intervista a </w:t>
      </w:r>
      <w:proofErr w:type="spellStart"/>
      <w:r>
        <w:rPr>
          <w:rFonts w:ascii="Arial" w:hAnsi="Arial" w:cs="Arial"/>
          <w:i/>
          <w:iCs/>
          <w:sz w:val="20"/>
          <w:szCs w:val="20"/>
        </w:rPr>
        <w:t>Chakrabarty</w:t>
      </w:r>
      <w:proofErr w:type="spellEnd"/>
      <w:r>
        <w:rPr>
          <w:rFonts w:ascii="Arial" w:hAnsi="Arial" w:cs="Arial"/>
          <w:i/>
          <w:iCs/>
          <w:sz w:val="20"/>
          <w:szCs w:val="20"/>
        </w:rPr>
        <w:t xml:space="preserve"> a vent’anni dalla pubblicazione di </w:t>
      </w:r>
      <w:proofErr w:type="spellStart"/>
      <w:r>
        <w:rPr>
          <w:rFonts w:ascii="Arial" w:hAnsi="Arial" w:cs="Arial"/>
          <w:sz w:val="20"/>
          <w:szCs w:val="20"/>
        </w:rPr>
        <w:t>Provincializing</w:t>
      </w:r>
      <w:proofErr w:type="spellEnd"/>
      <w:r>
        <w:rPr>
          <w:rFonts w:ascii="Arial" w:hAnsi="Arial" w:cs="Arial"/>
          <w:sz w:val="20"/>
          <w:szCs w:val="20"/>
        </w:rPr>
        <w:t xml:space="preserve"> Europe</w:t>
      </w:r>
      <w:r>
        <w:rPr>
          <w:rFonts w:ascii="Arial" w:hAnsi="Arial" w:cs="Arial"/>
          <w:i/>
          <w:iCs/>
          <w:sz w:val="20"/>
          <w:szCs w:val="20"/>
        </w:rPr>
        <w:t xml:space="preserve">). In questo processo di “provincializzazione”, si è cercato di portare sull’Europa e in genere sull’occidente uno sguardo nuovo, capace cioè di riconfigurare consolidate gerarchie – a cominciare da quella tra primo, secondo e terzo mondo – mettendo invece in luce l’importanza dello spazio non europeo nel plasmare l’immaginazione e l’agenda politica in particolare dei così detti global </w:t>
      </w:r>
      <w:proofErr w:type="spellStart"/>
      <w:r>
        <w:rPr>
          <w:rFonts w:ascii="Arial" w:hAnsi="Arial" w:cs="Arial"/>
          <w:i/>
          <w:iCs/>
          <w:sz w:val="20"/>
          <w:szCs w:val="20"/>
        </w:rPr>
        <w:t>sixties</w:t>
      </w:r>
      <w:proofErr w:type="spellEnd"/>
      <w:r>
        <w:rPr>
          <w:rFonts w:ascii="Arial" w:hAnsi="Arial" w:cs="Arial"/>
          <w:i/>
          <w:iCs/>
          <w:sz w:val="20"/>
          <w:szCs w:val="20"/>
        </w:rPr>
        <w:t xml:space="preserve"> (e cioè quella sequenza temporale che si estende tra la seconda metà degli anni cinquanta e la prima metà degli anni settanta). Un rinnovamento che ha però riguardato principalmente gli studi sulle sinistre e forse meno quelli sulle destre e le loro culture politiche di riferimento. </w:t>
      </w:r>
    </w:p>
    <w:p w14:paraId="055F0AA3" w14:textId="77777777" w:rsidR="00FE7B70" w:rsidRDefault="00000000">
      <w:pPr>
        <w:rPr>
          <w:rFonts w:ascii="Arial" w:hAnsi="Arial" w:cs="Arial"/>
          <w:i/>
          <w:iCs/>
          <w:sz w:val="20"/>
          <w:szCs w:val="20"/>
        </w:rPr>
      </w:pPr>
      <w:r>
        <w:rPr>
          <w:rFonts w:ascii="Arial" w:hAnsi="Arial" w:cs="Arial"/>
          <w:i/>
          <w:iCs/>
          <w:sz w:val="20"/>
          <w:szCs w:val="20"/>
        </w:rPr>
        <w:t>A conferma di questa traiettoria, possiamo prendere due esempi dal panorama di studi italiano. Nella pur ottima</w:t>
      </w:r>
      <w:r>
        <w:rPr>
          <w:rFonts w:ascii="Arial" w:hAnsi="Arial" w:cs="Arial"/>
          <w:sz w:val="20"/>
          <w:szCs w:val="20"/>
        </w:rPr>
        <w:t xml:space="preserve"> Enciclopedia della sinistra europea nel XX secolo</w:t>
      </w:r>
      <w:r>
        <w:rPr>
          <w:rFonts w:ascii="Arial" w:hAnsi="Arial" w:cs="Arial"/>
          <w:i/>
          <w:iCs/>
          <w:sz w:val="20"/>
          <w:szCs w:val="20"/>
        </w:rPr>
        <w:t xml:space="preserve">, a cura di Aldo Agosti (2000), lo spazio extra occidentale è ancora estremamente marginale. Gli sono esplicitamente dedicate solo due voci: una sulla «Lega antimperialista» (di Claudio Natoli) e una su «colonialismo e decolonizzazione» (di Enrica Collotti </w:t>
      </w:r>
      <w:proofErr w:type="spellStart"/>
      <w:r>
        <w:rPr>
          <w:rFonts w:ascii="Arial" w:hAnsi="Arial" w:cs="Arial"/>
          <w:i/>
          <w:iCs/>
          <w:sz w:val="20"/>
          <w:szCs w:val="20"/>
        </w:rPr>
        <w:t>Pischel</w:t>
      </w:r>
      <w:proofErr w:type="spellEnd"/>
      <w:r>
        <w:rPr>
          <w:rFonts w:ascii="Arial" w:hAnsi="Arial" w:cs="Arial"/>
          <w:i/>
          <w:iCs/>
          <w:sz w:val="20"/>
          <w:szCs w:val="20"/>
        </w:rPr>
        <w:t xml:space="preserve">). Complessivamente nove pagine e mezza su 1.344. </w:t>
      </w:r>
    </w:p>
    <w:p w14:paraId="2A27D5A6" w14:textId="77777777" w:rsidR="00FE7B70" w:rsidRDefault="00000000">
      <w:pPr>
        <w:rPr>
          <w:rFonts w:ascii="Arial" w:hAnsi="Arial" w:cs="Arial"/>
          <w:i/>
          <w:iCs/>
          <w:sz w:val="20"/>
          <w:szCs w:val="20"/>
        </w:rPr>
      </w:pPr>
      <w:r>
        <w:rPr>
          <w:rFonts w:ascii="Arial" w:hAnsi="Arial" w:cs="Arial"/>
          <w:i/>
          <w:iCs/>
          <w:sz w:val="20"/>
          <w:szCs w:val="20"/>
        </w:rPr>
        <w:t xml:space="preserve">Vent’anni dopo, il mutamento di prospettiva appare evidente: </w:t>
      </w:r>
      <w:r>
        <w:rPr>
          <w:rFonts w:ascii="Arial" w:hAnsi="Arial" w:cs="Arial"/>
          <w:sz w:val="20"/>
          <w:szCs w:val="20"/>
        </w:rPr>
        <w:t xml:space="preserve">I comunisti italiani e gli altri. Visioni e legami internazionali nel mondo del Novecento </w:t>
      </w:r>
      <w:r>
        <w:rPr>
          <w:rFonts w:ascii="Arial" w:hAnsi="Arial" w:cs="Arial"/>
          <w:i/>
          <w:iCs/>
          <w:sz w:val="20"/>
          <w:szCs w:val="20"/>
        </w:rPr>
        <w:t xml:space="preserve">è infatti il titolo dell’ultimo lavoro di Silvio Pons (2021). Gli «altri» si sono finalmente affacciati nella storia e il Novecento si è aperto a un «mondo» che non coincide più soltanto con l’occidente. Non si tratta inoltre di un filone storiografico “underground”, per usare una litote: Pons è storico che gode di solida reputazione internazionale, come dimostra anche la sua curatela (con Stephen A. Smith) dei poderosi volumi della </w:t>
      </w:r>
      <w:r>
        <w:rPr>
          <w:rFonts w:ascii="Arial" w:hAnsi="Arial" w:cs="Arial"/>
          <w:sz w:val="20"/>
          <w:szCs w:val="20"/>
        </w:rPr>
        <w:t xml:space="preserve">Cambridge History of </w:t>
      </w:r>
      <w:proofErr w:type="spellStart"/>
      <w:r>
        <w:rPr>
          <w:rFonts w:ascii="Arial" w:hAnsi="Arial" w:cs="Arial"/>
          <w:sz w:val="20"/>
          <w:szCs w:val="20"/>
        </w:rPr>
        <w:t>Communism</w:t>
      </w:r>
      <w:proofErr w:type="spellEnd"/>
      <w:r>
        <w:rPr>
          <w:rFonts w:ascii="Arial" w:hAnsi="Arial" w:cs="Arial"/>
          <w:sz w:val="20"/>
          <w:szCs w:val="20"/>
        </w:rPr>
        <w:t xml:space="preserve"> </w:t>
      </w:r>
      <w:r>
        <w:rPr>
          <w:rFonts w:ascii="Arial" w:hAnsi="Arial" w:cs="Arial"/>
          <w:i/>
          <w:iCs/>
          <w:sz w:val="20"/>
          <w:szCs w:val="20"/>
        </w:rPr>
        <w:t xml:space="preserve">(2017), dove già uno spazio significativo era dedicato ai contesti non occidentali.    </w:t>
      </w:r>
    </w:p>
    <w:p w14:paraId="553C1141" w14:textId="77777777" w:rsidR="00FE7B70" w:rsidRDefault="00000000">
      <w:pPr>
        <w:rPr>
          <w:rFonts w:ascii="Arial" w:hAnsi="Arial" w:cs="Arial"/>
          <w:i/>
          <w:iCs/>
          <w:sz w:val="20"/>
          <w:szCs w:val="20"/>
        </w:rPr>
      </w:pPr>
      <w:r>
        <w:rPr>
          <w:rFonts w:ascii="Arial" w:hAnsi="Arial" w:cs="Arial"/>
          <w:i/>
          <w:iCs/>
          <w:sz w:val="20"/>
          <w:szCs w:val="20"/>
        </w:rPr>
        <w:t xml:space="preserve">Questo processo di riconfigurazione, per quanto “rivoluzionario”, non ci sembra tuttavia ancora del tutto soddisfacente. E questo per diverse ragioni. </w:t>
      </w:r>
      <w:proofErr w:type="gramStart"/>
      <w:r>
        <w:rPr>
          <w:rFonts w:ascii="Arial" w:hAnsi="Arial" w:cs="Arial"/>
          <w:i/>
          <w:iCs/>
          <w:sz w:val="20"/>
          <w:szCs w:val="20"/>
        </w:rPr>
        <w:t>In primo luogo</w:t>
      </w:r>
      <w:proofErr w:type="gramEnd"/>
      <w:r>
        <w:rPr>
          <w:rFonts w:ascii="Arial" w:hAnsi="Arial" w:cs="Arial"/>
          <w:i/>
          <w:iCs/>
          <w:sz w:val="20"/>
          <w:szCs w:val="20"/>
        </w:rPr>
        <w:t xml:space="preserve"> perché il paradigma di storia “globale” su cui si fondano molte di queste ricerche rischia in alcuni casi di cedere alle derive di una world history segnata da un approccio top-down focalizzato sui centri decisionali e sulle strutture di partito. Insomma, un paradigma di</w:t>
      </w:r>
      <w:r>
        <w:rPr>
          <w:rFonts w:ascii="Arial" w:hAnsi="Arial" w:cs="Arial"/>
          <w:sz w:val="20"/>
          <w:szCs w:val="20"/>
        </w:rPr>
        <w:t xml:space="preserve"> </w:t>
      </w:r>
      <w:r>
        <w:rPr>
          <w:rFonts w:ascii="Arial" w:hAnsi="Arial" w:cs="Arial"/>
          <w:i/>
          <w:iCs/>
          <w:sz w:val="20"/>
          <w:szCs w:val="20"/>
        </w:rPr>
        <w:t>global history</w:t>
      </w:r>
      <w:r>
        <w:rPr>
          <w:rFonts w:ascii="Arial" w:hAnsi="Arial" w:cs="Arial"/>
          <w:sz w:val="20"/>
          <w:szCs w:val="20"/>
        </w:rPr>
        <w:t xml:space="preserve"> </w:t>
      </w:r>
      <w:r>
        <w:rPr>
          <w:rFonts w:ascii="Arial" w:hAnsi="Arial" w:cs="Arial"/>
          <w:i/>
          <w:iCs/>
          <w:sz w:val="20"/>
          <w:szCs w:val="20"/>
        </w:rPr>
        <w:t xml:space="preserve">molto diverso da quello che hai proposto tu in alcuni saggi fondamentali e che hai chiamato la </w:t>
      </w:r>
      <w:r>
        <w:rPr>
          <w:rFonts w:ascii="Arial" w:hAnsi="Arial" w:cs="Arial"/>
          <w:sz w:val="20"/>
          <w:szCs w:val="20"/>
        </w:rPr>
        <w:t>«micro-</w:t>
      </w:r>
      <w:proofErr w:type="spellStart"/>
      <w:r>
        <w:rPr>
          <w:rFonts w:ascii="Arial" w:hAnsi="Arial" w:cs="Arial"/>
          <w:sz w:val="20"/>
          <w:szCs w:val="20"/>
        </w:rPr>
        <w:t>spatial</w:t>
      </w:r>
      <w:proofErr w:type="spellEnd"/>
      <w:r>
        <w:rPr>
          <w:rFonts w:ascii="Arial" w:hAnsi="Arial" w:cs="Arial"/>
          <w:sz w:val="20"/>
          <w:szCs w:val="20"/>
        </w:rPr>
        <w:t xml:space="preserve"> </w:t>
      </w:r>
      <w:proofErr w:type="spellStart"/>
      <w:r>
        <w:rPr>
          <w:rFonts w:ascii="Arial" w:hAnsi="Arial" w:cs="Arial"/>
          <w:sz w:val="20"/>
          <w:szCs w:val="20"/>
        </w:rPr>
        <w:t>perspective</w:t>
      </w:r>
      <w:proofErr w:type="spellEnd"/>
      <w:r>
        <w:rPr>
          <w:rFonts w:ascii="Arial" w:hAnsi="Arial" w:cs="Arial"/>
          <w:sz w:val="20"/>
          <w:szCs w:val="20"/>
        </w:rPr>
        <w:t xml:space="preserve">» </w:t>
      </w:r>
      <w:r>
        <w:rPr>
          <w:rFonts w:ascii="Arial" w:hAnsi="Arial" w:cs="Arial"/>
          <w:i/>
          <w:iCs/>
          <w:sz w:val="20"/>
          <w:szCs w:val="20"/>
        </w:rPr>
        <w:t xml:space="preserve">o, in italiano, «microstoria </w:t>
      </w:r>
      <w:proofErr w:type="spellStart"/>
      <w:r>
        <w:rPr>
          <w:rFonts w:ascii="Arial" w:hAnsi="Arial" w:cs="Arial"/>
          <w:i/>
          <w:iCs/>
          <w:sz w:val="20"/>
          <w:szCs w:val="20"/>
        </w:rPr>
        <w:t>translocale</w:t>
      </w:r>
      <w:proofErr w:type="spellEnd"/>
      <w:r>
        <w:rPr>
          <w:rFonts w:ascii="Arial" w:hAnsi="Arial" w:cs="Arial"/>
          <w:i/>
          <w:iCs/>
          <w:sz w:val="20"/>
          <w:szCs w:val="20"/>
        </w:rPr>
        <w:t>» (De Vito 2019 e 2015).</w:t>
      </w:r>
    </w:p>
    <w:p w14:paraId="7C6EBD2E" w14:textId="77777777" w:rsidR="00FE7B70" w:rsidRDefault="00FE7B70">
      <w:pPr>
        <w:rPr>
          <w:rFonts w:ascii="Arial" w:hAnsi="Arial" w:cs="Arial"/>
          <w:sz w:val="20"/>
          <w:szCs w:val="20"/>
        </w:rPr>
      </w:pPr>
    </w:p>
    <w:p w14:paraId="3F5C945C" w14:textId="77777777" w:rsidR="00FE7B70" w:rsidRDefault="00000000">
      <w:pPr>
        <w:rPr>
          <w:rFonts w:ascii="Arial" w:hAnsi="Arial" w:cs="Arial"/>
          <w:sz w:val="20"/>
          <w:szCs w:val="20"/>
        </w:rPr>
      </w:pPr>
      <w:r>
        <w:rPr>
          <w:rFonts w:ascii="Arial" w:hAnsi="Arial" w:cs="Arial"/>
          <w:sz w:val="20"/>
          <w:szCs w:val="20"/>
        </w:rPr>
        <w:t xml:space="preserve">! Nel valutare le prospettive teoriche e metodologiche, il punto chiave a mio avviso sta nel comprendere in che misura i concetti e le prospettive che abbiamo ereditato dal passato ci aiutano o limitano nell’afferrare la complessità dei processi storici e sociali. </w:t>
      </w:r>
    </w:p>
    <w:p w14:paraId="5DB450A2" w14:textId="77777777" w:rsidR="00FE7B70" w:rsidRDefault="00000000">
      <w:pPr>
        <w:rPr>
          <w:rFonts w:ascii="Arial" w:hAnsi="Arial" w:cs="Arial"/>
          <w:sz w:val="20"/>
          <w:szCs w:val="20"/>
        </w:rPr>
      </w:pPr>
      <w:r>
        <w:rPr>
          <w:rFonts w:ascii="Arial" w:hAnsi="Arial" w:cs="Arial"/>
          <w:sz w:val="20"/>
          <w:szCs w:val="20"/>
        </w:rPr>
        <w:t xml:space="preserve">Eurocentrismo e nazionalismo metodologico erano (e purtroppo sono ancora) approcci chiave di una determinata costruzione storiografica che più o meno implicitamente deriva dal pensiero coloniale e supporta l’egemonia politica degli stati occidentali. Gli studi postcoloniali e la storia globale li hanno giustamente attaccati e decostruiti, mostrando il modo in cui distorcono le nostre analisi, oscurando interi processi storici e rimuovendo interi gruppi sociali. Per chi abbraccia questa critica e non crede – come fanno alcuni/e storici e storiche postmodernisti/e (White 1973) – che la decostruzione sia il punto finale, il passo successivo è quello di darsi degli strumenti teorici e metodologici che permettano una ricostruzione più complessa e dinamica dei processi storico-sociali. </w:t>
      </w:r>
    </w:p>
    <w:p w14:paraId="69862E11" w14:textId="77777777" w:rsidR="00FE7B70" w:rsidRDefault="00000000">
      <w:pPr>
        <w:rPr>
          <w:rFonts w:ascii="Arial" w:hAnsi="Arial" w:cs="Arial"/>
          <w:sz w:val="20"/>
          <w:szCs w:val="20"/>
        </w:rPr>
      </w:pPr>
      <w:r>
        <w:rPr>
          <w:rFonts w:ascii="Arial" w:hAnsi="Arial" w:cs="Arial"/>
          <w:sz w:val="20"/>
          <w:szCs w:val="20"/>
        </w:rPr>
        <w:t xml:space="preserve">Da questo punto di vista, nel processo che descrivi in relazione alla storiografia sulle culture politiche europee vedo un movimento più generale che ha attraversato molti ambiti disciplinari che si sono (in parte) riconfigurati aggiungendo il termine «global» – ad esempio la «global labour history», la «global </w:t>
      </w:r>
      <w:proofErr w:type="spellStart"/>
      <w:r>
        <w:rPr>
          <w:rFonts w:ascii="Arial" w:hAnsi="Arial" w:cs="Arial"/>
          <w:sz w:val="20"/>
          <w:szCs w:val="20"/>
        </w:rPr>
        <w:lastRenderedPageBreak/>
        <w:t>environmental</w:t>
      </w:r>
      <w:proofErr w:type="spellEnd"/>
      <w:r>
        <w:rPr>
          <w:rFonts w:ascii="Arial" w:hAnsi="Arial" w:cs="Arial"/>
          <w:sz w:val="20"/>
          <w:szCs w:val="20"/>
        </w:rPr>
        <w:t xml:space="preserve"> history» etc. Una rinnovata espansione spaziale del focus di questi studi fuori dal tradizionale contenitore europeo (per quanto troppo spesso solo a partire dai luoghi segnati dal colonialismo e dall’imperialismo europeo) ha portato a fare i conti con nuovi temi e diverse periodizzazioni e in alcuni casi ha comportato un ripensamento delle categorie precedentemente utilizzate, in un movimento di critica all’eurocentrismo e al nazionalismo metodologico che le segnava. </w:t>
      </w:r>
    </w:p>
    <w:p w14:paraId="5BA22C7F" w14:textId="77777777" w:rsidR="00FE7B70" w:rsidRDefault="00000000">
      <w:pPr>
        <w:rPr>
          <w:rFonts w:ascii="Arial" w:hAnsi="Arial" w:cs="Arial"/>
          <w:sz w:val="20"/>
          <w:szCs w:val="20"/>
        </w:rPr>
      </w:pPr>
      <w:r>
        <w:rPr>
          <w:rFonts w:ascii="Arial" w:hAnsi="Arial" w:cs="Arial"/>
          <w:sz w:val="20"/>
          <w:szCs w:val="20"/>
        </w:rPr>
        <w:t xml:space="preserve">Talvolta questo ha implicato una revisione ancora più profonda, in direzione di una visione complessa e connessa dei processi sociali. Si è visto che il capitalismo, il colonialismo, la rivoluzione industriale e qualsiasi altro processo storico-sociale non può più essere localizzato staticamente in un astratto “nord globale” dal quale si sarebbe poi esteso “altrove”, ma è stato costruito all’incrocio di pratiche che hanno legato diversi luoghi in varie parti del globo. Si tratta quindi di studiare i processi sociali nella loro </w:t>
      </w:r>
      <w:proofErr w:type="spellStart"/>
      <w:r>
        <w:rPr>
          <w:rFonts w:ascii="Arial" w:hAnsi="Arial" w:cs="Arial"/>
          <w:sz w:val="20"/>
          <w:szCs w:val="20"/>
        </w:rPr>
        <w:t>translocalità</w:t>
      </w:r>
      <w:proofErr w:type="spellEnd"/>
      <w:r>
        <w:rPr>
          <w:rFonts w:ascii="Arial" w:hAnsi="Arial" w:cs="Arial"/>
          <w:sz w:val="20"/>
          <w:szCs w:val="20"/>
        </w:rPr>
        <w:t xml:space="preserve">, prestando attenzione ai luoghi specifici nei quali emergono i processi sociali e contemporaneamente analizzando il modo in cui determinati attori sociali producono quei luoghi mentre producono i processi sociali stessi (Massey 1994; Torre 2011). Si tratta di studiare i processi sociali nel loro farsi, osservando i conflitti, le negoziazioni e le collaborazioni tra individui, gruppi, movimenti e istituzioni dai quali sono emersi. </w:t>
      </w:r>
    </w:p>
    <w:p w14:paraId="7791FAAC" w14:textId="77777777" w:rsidR="00FE7B70" w:rsidRDefault="00000000">
      <w:pPr>
        <w:rPr>
          <w:rFonts w:ascii="Arial" w:hAnsi="Arial" w:cs="Arial"/>
          <w:sz w:val="20"/>
          <w:szCs w:val="20"/>
        </w:rPr>
      </w:pPr>
      <w:r>
        <w:rPr>
          <w:rFonts w:ascii="Arial" w:hAnsi="Arial" w:cs="Arial"/>
          <w:sz w:val="20"/>
          <w:szCs w:val="20"/>
        </w:rPr>
        <w:t xml:space="preserve">Questo movimento relativamente recente che ha decostruito le visioni storiografiche tradizionali ed eurocentriche a mio parere ha importanti punti di contatto con il precedente movimento storiografico che, tra gli anni </w:t>
      </w:r>
      <w:proofErr w:type="gramStart"/>
      <w:r>
        <w:rPr>
          <w:rFonts w:ascii="Arial" w:hAnsi="Arial" w:cs="Arial"/>
          <w:sz w:val="20"/>
          <w:szCs w:val="20"/>
        </w:rPr>
        <w:t>sessanta</w:t>
      </w:r>
      <w:proofErr w:type="gramEnd"/>
      <w:r>
        <w:rPr>
          <w:rFonts w:ascii="Arial" w:hAnsi="Arial" w:cs="Arial"/>
          <w:sz w:val="20"/>
          <w:szCs w:val="20"/>
        </w:rPr>
        <w:t xml:space="preserve"> e ottanta, aveva portato (in Europa) all’emergere di quegli approcci che avevano similmente contestato la “storia dall’alto” e le astrazioni di una storiografia schiacciata sulla sociologia e sull’economia. Penso a quella composita famiglia che idealmente comprende, tra gli altri, la nuova storia sociale di E.P. Thompson, la microstoria di Giovanni Levi, Carlo Ginzburg e Franco Ramella, la </w:t>
      </w:r>
      <w:proofErr w:type="spellStart"/>
      <w:r>
        <w:rPr>
          <w:rFonts w:ascii="Arial" w:hAnsi="Arial" w:cs="Arial"/>
          <w:i/>
          <w:sz w:val="20"/>
          <w:szCs w:val="20"/>
        </w:rPr>
        <w:t>Alltagsgeschichte</w:t>
      </w:r>
      <w:proofErr w:type="spellEnd"/>
      <w:r>
        <w:rPr>
          <w:rFonts w:ascii="Arial" w:hAnsi="Arial" w:cs="Arial"/>
          <w:sz w:val="20"/>
          <w:szCs w:val="20"/>
        </w:rPr>
        <w:t xml:space="preserve"> di </w:t>
      </w:r>
      <w:proofErr w:type="spellStart"/>
      <w:r>
        <w:rPr>
          <w:rFonts w:ascii="Arial" w:hAnsi="Arial" w:cs="Arial"/>
          <w:sz w:val="20"/>
          <w:szCs w:val="20"/>
        </w:rPr>
        <w:t>Alf</w:t>
      </w:r>
      <w:proofErr w:type="spellEnd"/>
      <w:r>
        <w:rPr>
          <w:rFonts w:ascii="Arial" w:hAnsi="Arial" w:cs="Arial"/>
          <w:sz w:val="20"/>
          <w:szCs w:val="20"/>
        </w:rPr>
        <w:t xml:space="preserve"> </w:t>
      </w:r>
      <w:proofErr w:type="spellStart"/>
      <w:r>
        <w:rPr>
          <w:rFonts w:ascii="Arial" w:hAnsi="Arial" w:cs="Arial"/>
          <w:sz w:val="20"/>
          <w:szCs w:val="20"/>
        </w:rPr>
        <w:t>Lüdtke</w:t>
      </w:r>
      <w:proofErr w:type="spellEnd"/>
      <w:r>
        <w:rPr>
          <w:rFonts w:ascii="Arial" w:hAnsi="Arial" w:cs="Arial"/>
          <w:sz w:val="20"/>
          <w:szCs w:val="20"/>
        </w:rPr>
        <w:t xml:space="preserve"> e Hans </w:t>
      </w:r>
      <w:proofErr w:type="spellStart"/>
      <w:r>
        <w:rPr>
          <w:rFonts w:ascii="Arial" w:hAnsi="Arial" w:cs="Arial"/>
          <w:sz w:val="20"/>
          <w:szCs w:val="20"/>
        </w:rPr>
        <w:t>Medick</w:t>
      </w:r>
      <w:proofErr w:type="spellEnd"/>
      <w:r>
        <w:rPr>
          <w:rFonts w:ascii="Arial" w:hAnsi="Arial" w:cs="Arial"/>
          <w:sz w:val="20"/>
          <w:szCs w:val="20"/>
        </w:rPr>
        <w:t xml:space="preserve">, la storia orale e l’antropologia storica (a titolo di esempio: Thompson 1963; Portelli 1985; Levi 2020; Ginzburg 1976; Ramella 2022; </w:t>
      </w:r>
      <w:proofErr w:type="spellStart"/>
      <w:r>
        <w:rPr>
          <w:rFonts w:ascii="Arial" w:hAnsi="Arial" w:cs="Arial"/>
          <w:sz w:val="20"/>
          <w:szCs w:val="20"/>
        </w:rPr>
        <w:t>Lüdtke</w:t>
      </w:r>
      <w:proofErr w:type="spellEnd"/>
      <w:r>
        <w:rPr>
          <w:rFonts w:ascii="Arial" w:hAnsi="Arial" w:cs="Arial"/>
          <w:sz w:val="20"/>
          <w:szCs w:val="20"/>
        </w:rPr>
        <w:t xml:space="preserve"> 1995; </w:t>
      </w:r>
      <w:proofErr w:type="spellStart"/>
      <w:r>
        <w:rPr>
          <w:rFonts w:ascii="Arial" w:hAnsi="Arial" w:cs="Arial"/>
          <w:sz w:val="20"/>
          <w:szCs w:val="20"/>
        </w:rPr>
        <w:t>Wachtel</w:t>
      </w:r>
      <w:proofErr w:type="spellEnd"/>
      <w:r>
        <w:rPr>
          <w:rFonts w:ascii="Arial" w:hAnsi="Arial" w:cs="Arial"/>
          <w:sz w:val="20"/>
          <w:szCs w:val="20"/>
        </w:rPr>
        <w:t xml:space="preserve"> 1992). È una famiglia a tratti litigiosa, ma accomunata dall’idea di non predefinire le categorie analitiche e le unità spaziali e temporali della ricerca, ma di ricostruire il farsi – «</w:t>
      </w:r>
      <w:r>
        <w:rPr>
          <w:rFonts w:ascii="Arial" w:hAnsi="Arial" w:cs="Arial"/>
          <w:i/>
          <w:iCs/>
          <w:sz w:val="20"/>
          <w:szCs w:val="20"/>
        </w:rPr>
        <w:t>the making of</w:t>
      </w:r>
      <w:r>
        <w:rPr>
          <w:rFonts w:ascii="Arial" w:hAnsi="Arial" w:cs="Arial"/>
          <w:sz w:val="20"/>
          <w:szCs w:val="20"/>
        </w:rPr>
        <w:t>» – dei processi storici e sociali nella loro complessità, relazionalità e processualità. Il punto anche qui è quello di comprendere il tessuto della storia, le dinamiche concrete delle relazioni sociali, la rilevanza degli spazi che si fanno luoghi dotati di senso culturale e sociale, le trasformazioni derivate da scontri e adattamenti e non da modelli di sviluppo lineare.</w:t>
      </w:r>
    </w:p>
    <w:p w14:paraId="364A7FF6" w14:textId="77777777" w:rsidR="00FE7B70" w:rsidRDefault="00000000">
      <w:pPr>
        <w:rPr>
          <w:rFonts w:ascii="Arial" w:hAnsi="Arial" w:cs="Arial"/>
          <w:sz w:val="20"/>
          <w:szCs w:val="20"/>
        </w:rPr>
      </w:pPr>
      <w:r>
        <w:rPr>
          <w:rFonts w:ascii="Arial" w:hAnsi="Arial" w:cs="Arial"/>
          <w:sz w:val="20"/>
          <w:szCs w:val="20"/>
        </w:rPr>
        <w:t xml:space="preserve">In termini storiografici, la </w:t>
      </w:r>
      <w:r>
        <w:rPr>
          <w:rFonts w:ascii="Arial" w:hAnsi="Arial" w:cs="Arial"/>
          <w:i/>
          <w:iCs/>
          <w:sz w:val="20"/>
          <w:szCs w:val="20"/>
        </w:rPr>
        <w:t>micro-</w:t>
      </w:r>
      <w:proofErr w:type="spellStart"/>
      <w:r>
        <w:rPr>
          <w:rFonts w:ascii="Arial" w:hAnsi="Arial" w:cs="Arial"/>
          <w:i/>
          <w:iCs/>
          <w:sz w:val="20"/>
          <w:szCs w:val="20"/>
        </w:rPr>
        <w:t>spatial</w:t>
      </w:r>
      <w:proofErr w:type="spellEnd"/>
      <w:r>
        <w:rPr>
          <w:rFonts w:ascii="Arial" w:hAnsi="Arial" w:cs="Arial"/>
          <w:i/>
          <w:iCs/>
          <w:sz w:val="20"/>
          <w:szCs w:val="20"/>
        </w:rPr>
        <w:t xml:space="preserve"> history</w:t>
      </w:r>
      <w:r>
        <w:rPr>
          <w:rFonts w:ascii="Arial" w:hAnsi="Arial" w:cs="Arial"/>
          <w:sz w:val="20"/>
          <w:szCs w:val="20"/>
        </w:rPr>
        <w:t xml:space="preserve"> (o microstoria </w:t>
      </w:r>
      <w:proofErr w:type="spellStart"/>
      <w:r>
        <w:rPr>
          <w:rFonts w:ascii="Arial" w:hAnsi="Arial" w:cs="Arial"/>
          <w:sz w:val="20"/>
          <w:szCs w:val="20"/>
        </w:rPr>
        <w:t>translocale</w:t>
      </w:r>
      <w:proofErr w:type="spellEnd"/>
      <w:r>
        <w:rPr>
          <w:rFonts w:ascii="Arial" w:hAnsi="Arial" w:cs="Arial"/>
          <w:sz w:val="20"/>
          <w:szCs w:val="20"/>
        </w:rPr>
        <w:t xml:space="preserve">) che ho proposto è quindi l’unione dell’approccio processuale della storia sociale degli anni </w:t>
      </w:r>
      <w:proofErr w:type="gramStart"/>
      <w:r>
        <w:rPr>
          <w:rFonts w:ascii="Arial" w:hAnsi="Arial" w:cs="Arial"/>
          <w:sz w:val="20"/>
          <w:szCs w:val="20"/>
        </w:rPr>
        <w:t>sessanta</w:t>
      </w:r>
      <w:proofErr w:type="gramEnd"/>
      <w:r>
        <w:rPr>
          <w:rFonts w:ascii="Arial" w:hAnsi="Arial" w:cs="Arial"/>
          <w:sz w:val="20"/>
          <w:szCs w:val="20"/>
        </w:rPr>
        <w:t xml:space="preserve">-ottanta con quei filoni che, nella storiografia più recente, sono stati più direttamente e profondamente influenzati dallo </w:t>
      </w:r>
      <w:proofErr w:type="spellStart"/>
      <w:r>
        <w:rPr>
          <w:rFonts w:ascii="Arial" w:hAnsi="Arial" w:cs="Arial"/>
          <w:i/>
          <w:iCs/>
          <w:sz w:val="20"/>
          <w:szCs w:val="20"/>
        </w:rPr>
        <w:t>spatial</w:t>
      </w:r>
      <w:proofErr w:type="spellEnd"/>
      <w:r>
        <w:rPr>
          <w:rFonts w:ascii="Arial" w:hAnsi="Arial" w:cs="Arial"/>
          <w:i/>
          <w:iCs/>
          <w:sz w:val="20"/>
          <w:szCs w:val="20"/>
        </w:rPr>
        <w:t xml:space="preserve"> turn </w:t>
      </w:r>
      <w:r>
        <w:rPr>
          <w:rFonts w:ascii="Arial" w:hAnsi="Arial" w:cs="Arial"/>
          <w:iCs/>
          <w:sz w:val="20"/>
          <w:szCs w:val="20"/>
        </w:rPr>
        <w:t>(</w:t>
      </w:r>
      <w:proofErr w:type="spellStart"/>
      <w:r>
        <w:rPr>
          <w:rFonts w:ascii="Arial" w:hAnsi="Arial" w:cs="Arial"/>
          <w:iCs/>
          <w:sz w:val="20"/>
          <w:szCs w:val="20"/>
        </w:rPr>
        <w:t>Warf</w:t>
      </w:r>
      <w:proofErr w:type="spellEnd"/>
      <w:r>
        <w:rPr>
          <w:rFonts w:ascii="Arial" w:hAnsi="Arial" w:cs="Arial"/>
          <w:iCs/>
          <w:sz w:val="20"/>
          <w:szCs w:val="20"/>
        </w:rPr>
        <w:t>, Arias 2009)</w:t>
      </w:r>
      <w:r>
        <w:rPr>
          <w:rFonts w:ascii="Arial" w:hAnsi="Arial" w:cs="Arial"/>
          <w:sz w:val="20"/>
          <w:szCs w:val="20"/>
        </w:rPr>
        <w:t xml:space="preserve">, ossia dalla riflessione non solo sull’importanza della spazialità, ma anche sul processo di costruzione dei luoghi e delle connessioni tra di essi. </w:t>
      </w:r>
    </w:p>
    <w:p w14:paraId="631BD45C" w14:textId="77777777" w:rsidR="00FE7B70" w:rsidRDefault="00FE7B70">
      <w:pPr>
        <w:rPr>
          <w:rFonts w:ascii="Arial" w:hAnsi="Arial" w:cs="Arial"/>
          <w:sz w:val="20"/>
          <w:szCs w:val="20"/>
        </w:rPr>
      </w:pPr>
    </w:p>
    <w:p w14:paraId="3DAEBF03" w14:textId="77777777" w:rsidR="00FE7B70" w:rsidRDefault="00FE7B70">
      <w:pPr>
        <w:rPr>
          <w:rFonts w:ascii="Arial" w:hAnsi="Arial" w:cs="Arial"/>
          <w:i/>
          <w:iCs/>
          <w:strike/>
          <w:sz w:val="20"/>
          <w:szCs w:val="20"/>
        </w:rPr>
      </w:pPr>
    </w:p>
    <w:p w14:paraId="73E2BE03" w14:textId="77777777" w:rsidR="00FE7B70" w:rsidRDefault="00000000">
      <w:pPr>
        <w:rPr>
          <w:rFonts w:ascii="Arial" w:hAnsi="Arial" w:cs="Arial"/>
          <w:sz w:val="20"/>
          <w:szCs w:val="20"/>
        </w:rPr>
      </w:pPr>
      <w:r>
        <w:rPr>
          <w:rFonts w:ascii="Arial" w:hAnsi="Arial" w:cs="Arial"/>
          <w:sz w:val="20"/>
          <w:szCs w:val="20"/>
        </w:rPr>
        <w:t xml:space="preserve">? </w:t>
      </w:r>
      <w:r>
        <w:rPr>
          <w:rFonts w:ascii="Arial" w:hAnsi="Arial" w:cs="Arial"/>
          <w:i/>
          <w:iCs/>
          <w:sz w:val="20"/>
          <w:szCs w:val="20"/>
        </w:rPr>
        <w:t xml:space="preserve">Tra le tante potenzialità di questa tua proposta metodologica, hai spesso insistito su un aspetto che mi pare cruciale. E cioè la necessità di sforzarsi di </w:t>
      </w:r>
      <w:r>
        <w:rPr>
          <w:rFonts w:ascii="Arial" w:hAnsi="Arial" w:cs="Arial"/>
          <w:sz w:val="20"/>
          <w:szCs w:val="20"/>
        </w:rPr>
        <w:t>visualizzare</w:t>
      </w:r>
      <w:r>
        <w:rPr>
          <w:rFonts w:ascii="Arial" w:hAnsi="Arial" w:cs="Arial"/>
          <w:i/>
          <w:iCs/>
          <w:sz w:val="20"/>
          <w:szCs w:val="20"/>
        </w:rPr>
        <w:t xml:space="preserve"> la complessità dell’articolazione spaziale. Come possiamo affiancare alle categorie spaziali della geografia politica classica nuove prospettive? E che conseguenze e potenzialità aprirebbe questa mossa? Dove vanno a finire dimensioni e categorie chiave per la storia del Novecento come nazione, stato, partito, etc.? </w:t>
      </w:r>
    </w:p>
    <w:p w14:paraId="5CA076D1" w14:textId="77777777" w:rsidR="00FE7B70" w:rsidRDefault="00FE7B70">
      <w:pPr>
        <w:rPr>
          <w:rFonts w:ascii="Arial" w:hAnsi="Arial" w:cs="Arial"/>
          <w:b/>
          <w:sz w:val="20"/>
          <w:szCs w:val="20"/>
        </w:rPr>
      </w:pPr>
    </w:p>
    <w:p w14:paraId="12FB2830" w14:textId="77777777" w:rsidR="00FE7B70" w:rsidRDefault="00000000">
      <w:pPr>
        <w:rPr>
          <w:rFonts w:ascii="Arial" w:hAnsi="Arial" w:cs="Arial"/>
          <w:sz w:val="20"/>
          <w:szCs w:val="20"/>
        </w:rPr>
      </w:pPr>
      <w:r>
        <w:rPr>
          <w:rFonts w:ascii="Arial" w:hAnsi="Arial" w:cs="Arial"/>
          <w:sz w:val="20"/>
          <w:szCs w:val="20"/>
        </w:rPr>
        <w:t>! Da un punto di vista teorico, la visualizzazione risponde alla necessità di decostruire e, per così dire, radicare i concetti astratti nella materialità dei processi storici che li hanno costituiti. Una visione processuale non nega l’importanza della nazione, dello stato o del partito, ma rifiuta di postularne l’importanza a priori. La rilevanza va dimostrata in concreto e in termini specifici: rilevante rispetto a quali processi? Rilevante per chi? Rilevante dove e quando? E se riconosciamo che nazione, stato e partito non erano monoliti, è necessario anche analizzarne le componenti interne e, allo stesso tempo, comprendere in che modo ciascun segmento di quelle complesse istituzioni era connesso ad altri apparati di altre istituzioni politiche e sociali.</w:t>
      </w:r>
    </w:p>
    <w:p w14:paraId="4841815E" w14:textId="77777777" w:rsidR="00FE7B70" w:rsidRDefault="00000000">
      <w:pPr>
        <w:rPr>
          <w:rFonts w:ascii="Arial" w:hAnsi="Arial" w:cs="Arial"/>
          <w:sz w:val="20"/>
          <w:szCs w:val="20"/>
        </w:rPr>
      </w:pPr>
      <w:r>
        <w:rPr>
          <w:rFonts w:ascii="Arial" w:hAnsi="Arial" w:cs="Arial"/>
          <w:sz w:val="20"/>
          <w:szCs w:val="20"/>
        </w:rPr>
        <w:t>A questo fine, mi pare utile vedere stato, nazione o partito inseriti nel movimento che continuamente li genera. Anche le istituzioni più complesse sono infatti cristallizzazioni di pratiche e processi, prodotti storici in continua trasformazione. La loro stessa continuità non rivela inerzia, ma è l’esito di un’incessante opera di mantenimento materiale e ideologico. Alle spalle di un’istituzione come l’Inquisizione spagnola c’erano ritualità e formule concepite esplicitamente per produrre quell’idea di solidità e autorevolezza, come pure continui scontri tra le élite che componevano l’Inquisizione stessa e con le élite che formavano parte di altre istituzioni. E c’erano infinite pratiche di contestazione o adattamento messe in pratica dai “familiari” dell’Inquisizione, dai condannati e dalle condannate, dai delatori e dalle delatrici e da tutti gli altri individui imbricati nei processi storici di cui l’Inquisizione era soggetto e oggetto.</w:t>
      </w:r>
    </w:p>
    <w:p w14:paraId="140CDB60" w14:textId="77777777" w:rsidR="00FE7B70" w:rsidRDefault="00000000">
      <w:pPr>
        <w:rPr>
          <w:rFonts w:ascii="Arial" w:hAnsi="Arial" w:cs="Arial"/>
          <w:sz w:val="20"/>
          <w:szCs w:val="20"/>
        </w:rPr>
      </w:pPr>
      <w:r>
        <w:rPr>
          <w:rFonts w:ascii="Arial" w:hAnsi="Arial" w:cs="Arial"/>
          <w:sz w:val="20"/>
          <w:szCs w:val="20"/>
        </w:rPr>
        <w:t xml:space="preserve">Questo modo di vedere le istituzioni come configurazioni di pratiche e processi a mio avviso è importante anche perché permette di superare l’impasse della separazione tra agency individuale e agency collettiva. Dopo decenni di storiografia top-down, dove le istituzioni prefiguravano tutte le traiettorie degli individui, siamo arrivati ora all’estremo opposto in cui pare che le istituzioni non abbiano più alcun impatto rispetto a individui costantemente capaci di imporre la propria agency. Entrambe le forme di concettualizzazione mi </w:t>
      </w:r>
      <w:r>
        <w:rPr>
          <w:rFonts w:ascii="Arial" w:hAnsi="Arial" w:cs="Arial"/>
          <w:sz w:val="20"/>
          <w:szCs w:val="20"/>
        </w:rPr>
        <w:lastRenderedPageBreak/>
        <w:t>sembra che impoveriscano le nostre analisi. Nella storia del lavoro, ad esempio, la condivisibile attenzione per la agency individuale degli schiavi o dei lavoratori di fabbrica si è tradotta in un individualismo metodologico che ha rimosso quasi del tutto la componente collettiva del conflitto sociale. Si vuole restituire voce ai subalterni, ma paradossalmente li si ingabbia in un ruolo perennemente subordinato, quasi contribuendo a naturalizzare quelle dinamiche di potere che si vorrebbe contestare. Oppure si rimuove del tutto la dimensione del potere, accontentandosi di descrivere solo quanto avveniva in una “quotidianità” vista non come il concentrato degli equilibri di potere, ma come una improbabile messa tra parentesi del potere stesso.</w:t>
      </w:r>
    </w:p>
    <w:p w14:paraId="4C48BEC0" w14:textId="77777777" w:rsidR="00FE7B70" w:rsidRDefault="00000000">
      <w:pPr>
        <w:rPr>
          <w:rFonts w:ascii="Arial" w:hAnsi="Arial" w:cs="Arial"/>
          <w:sz w:val="20"/>
          <w:szCs w:val="20"/>
        </w:rPr>
      </w:pPr>
      <w:r>
        <w:rPr>
          <w:rFonts w:ascii="Arial" w:hAnsi="Arial" w:cs="Arial"/>
          <w:sz w:val="20"/>
          <w:szCs w:val="20"/>
        </w:rPr>
        <w:t>La restituzione della “voce” agli attori storici subalterni non può voler dire disconoscerne la loro posizione diseguale e appunto subalterna nelle società nelle quali vivevano. Per altro verso, riconoscerne la subalternità non vuol dire tornare a sminuirne il ruolo nei processi sociali. Dobbiamo avere la capacità anche in questo caso di comprendere in modo dinamico come i processi sociali che studiamo sono emersi dall’azione individuale e collettiva ma espressa e compressa sempre dentro reti di relazioni sociali e all’interno di organizzazioni e istituzioni.</w:t>
      </w:r>
    </w:p>
    <w:p w14:paraId="1DCAB387" w14:textId="77777777" w:rsidR="00FE7B70" w:rsidRDefault="00FE7B70">
      <w:pPr>
        <w:rPr>
          <w:rFonts w:ascii="Arial" w:hAnsi="Arial" w:cs="Arial"/>
          <w:sz w:val="20"/>
          <w:szCs w:val="20"/>
        </w:rPr>
      </w:pPr>
    </w:p>
    <w:p w14:paraId="04560B7A" w14:textId="77777777" w:rsidR="00FE7B70" w:rsidRDefault="00000000">
      <w:pPr>
        <w:rPr>
          <w:rFonts w:ascii="Arial" w:hAnsi="Arial" w:cs="Arial"/>
          <w:i/>
          <w:iCs/>
          <w:sz w:val="20"/>
          <w:szCs w:val="20"/>
        </w:rPr>
      </w:pPr>
      <w:r>
        <w:rPr>
          <w:rFonts w:ascii="Arial" w:hAnsi="Arial" w:cs="Arial"/>
          <w:sz w:val="20"/>
          <w:szCs w:val="20"/>
        </w:rPr>
        <w:t xml:space="preserve">? </w:t>
      </w:r>
      <w:r>
        <w:rPr>
          <w:rFonts w:ascii="Arial" w:hAnsi="Arial" w:cs="Arial"/>
          <w:i/>
          <w:iCs/>
          <w:sz w:val="20"/>
          <w:szCs w:val="20"/>
        </w:rPr>
        <w:t xml:space="preserve">Un </w:t>
      </w:r>
      <w:r>
        <w:rPr>
          <w:rFonts w:ascii="Arial" w:hAnsi="Arial" w:cs="Arial"/>
          <w:sz w:val="20"/>
          <w:szCs w:val="20"/>
        </w:rPr>
        <w:t>metodo</w:t>
      </w:r>
      <w:r>
        <w:rPr>
          <w:rFonts w:ascii="Arial" w:hAnsi="Arial" w:cs="Arial"/>
          <w:i/>
          <w:iCs/>
          <w:sz w:val="20"/>
          <w:szCs w:val="20"/>
        </w:rPr>
        <w:t xml:space="preserve"> </w:t>
      </w:r>
      <w:r>
        <w:rPr>
          <w:rFonts w:ascii="Arial" w:hAnsi="Arial" w:cs="Arial"/>
          <w:sz w:val="20"/>
          <w:szCs w:val="20"/>
        </w:rPr>
        <w:t>visuale</w:t>
      </w:r>
      <w:r>
        <w:rPr>
          <w:rFonts w:ascii="Arial" w:hAnsi="Arial" w:cs="Arial"/>
          <w:i/>
          <w:iCs/>
          <w:sz w:val="20"/>
          <w:szCs w:val="20"/>
        </w:rPr>
        <w:t xml:space="preserve">, quindi, per mantenere al centro dell’indagine la co-implicazione costitutiva e ineliminabile tra verticalità ma anche orizzontalità del potere. Nel senso quasi di una «microfisica del potere» (Foucault 1977). Ma il tuo metodo di </w:t>
      </w:r>
      <w:r>
        <w:rPr>
          <w:rFonts w:ascii="Arial" w:hAnsi="Arial" w:cs="Arial"/>
          <w:sz w:val="20"/>
          <w:szCs w:val="20"/>
        </w:rPr>
        <w:t>visualizzare</w:t>
      </w:r>
      <w:r>
        <w:rPr>
          <w:rFonts w:ascii="Arial" w:hAnsi="Arial" w:cs="Arial"/>
          <w:i/>
          <w:iCs/>
          <w:sz w:val="20"/>
          <w:szCs w:val="20"/>
        </w:rPr>
        <w:t xml:space="preserve"> permette anche di evitare il rischio della prigione senza prigionieri che Carlo Ginzburg rimproverava a Michel Foucault (Ginzburg 1976). È così che al centro della tua ricerca è anche e soprattutto la potenza della vita, di ciò che comunque sfugge al potere. Potenza, sottrazione che va comunque sempre posta in relazione a una lingua comune, a un registro o repertorio di forme di azione possibili. Che esiste – e diviene finalmente</w:t>
      </w:r>
      <w:r>
        <w:rPr>
          <w:rFonts w:ascii="Arial" w:hAnsi="Arial" w:cs="Arial"/>
          <w:sz w:val="20"/>
          <w:szCs w:val="20"/>
        </w:rPr>
        <w:t xml:space="preserve"> visibile </w:t>
      </w:r>
      <w:r>
        <w:rPr>
          <w:rFonts w:ascii="Arial" w:hAnsi="Arial" w:cs="Arial"/>
          <w:i/>
          <w:iCs/>
          <w:sz w:val="20"/>
          <w:szCs w:val="20"/>
        </w:rPr>
        <w:t xml:space="preserve">– anche quando o forse proprio quando è trasgredito. Il celebre ossimoro di Edoardo </w:t>
      </w:r>
      <w:proofErr w:type="spellStart"/>
      <w:r>
        <w:rPr>
          <w:rFonts w:ascii="Arial" w:hAnsi="Arial" w:cs="Arial"/>
          <w:i/>
          <w:iCs/>
          <w:sz w:val="20"/>
          <w:szCs w:val="20"/>
        </w:rPr>
        <w:t>Grendi</w:t>
      </w:r>
      <w:proofErr w:type="spellEnd"/>
      <w:r>
        <w:rPr>
          <w:rFonts w:ascii="Arial" w:hAnsi="Arial" w:cs="Arial"/>
          <w:i/>
          <w:iCs/>
          <w:sz w:val="20"/>
          <w:szCs w:val="20"/>
        </w:rPr>
        <w:t>, dell’«eccezionale normale» (</w:t>
      </w:r>
      <w:proofErr w:type="spellStart"/>
      <w:r>
        <w:rPr>
          <w:rFonts w:ascii="Arial" w:hAnsi="Arial" w:cs="Arial"/>
          <w:i/>
          <w:iCs/>
          <w:sz w:val="20"/>
          <w:szCs w:val="20"/>
        </w:rPr>
        <w:t>Grendi</w:t>
      </w:r>
      <w:proofErr w:type="spellEnd"/>
      <w:r>
        <w:rPr>
          <w:rFonts w:ascii="Arial" w:hAnsi="Arial" w:cs="Arial"/>
          <w:i/>
          <w:iCs/>
          <w:sz w:val="20"/>
          <w:szCs w:val="20"/>
        </w:rPr>
        <w:t xml:space="preserve"> </w:t>
      </w:r>
      <w:proofErr w:type="gramStart"/>
      <w:r>
        <w:rPr>
          <w:rFonts w:ascii="Arial" w:hAnsi="Arial" w:cs="Arial"/>
          <w:i/>
          <w:iCs/>
          <w:sz w:val="20"/>
          <w:szCs w:val="20"/>
        </w:rPr>
        <w:t>1977)...</w:t>
      </w:r>
      <w:proofErr w:type="gramEnd"/>
      <w:r>
        <w:rPr>
          <w:rFonts w:ascii="Arial" w:hAnsi="Arial" w:cs="Arial"/>
          <w:i/>
          <w:iCs/>
          <w:sz w:val="20"/>
          <w:szCs w:val="20"/>
        </w:rPr>
        <w:t xml:space="preserve"> </w:t>
      </w:r>
    </w:p>
    <w:p w14:paraId="7402FB18" w14:textId="77777777" w:rsidR="00FE7B70" w:rsidRDefault="00FE7B70">
      <w:pPr>
        <w:rPr>
          <w:rFonts w:ascii="Arial" w:hAnsi="Arial" w:cs="Arial"/>
          <w:sz w:val="20"/>
          <w:szCs w:val="20"/>
        </w:rPr>
      </w:pPr>
    </w:p>
    <w:p w14:paraId="3167B544" w14:textId="77777777" w:rsidR="00FE7B70" w:rsidRDefault="00000000">
      <w:pPr>
        <w:rPr>
          <w:rFonts w:ascii="Arial" w:hAnsi="Arial" w:cs="Arial"/>
          <w:sz w:val="20"/>
          <w:szCs w:val="20"/>
        </w:rPr>
      </w:pPr>
      <w:r>
        <w:rPr>
          <w:rFonts w:ascii="Arial" w:hAnsi="Arial" w:cs="Arial"/>
          <w:sz w:val="20"/>
          <w:szCs w:val="20"/>
        </w:rPr>
        <w:t xml:space="preserve">! Da un punto di vista metodologico, visualizzare è decisivo non solo per illustrare (nelle pubblicazioni) la spazialità di determinati processi storico-sociali, ma anche per analizzarli. Nella mia ricerca sul ruolo delle pratiche punitive nella configurazione dell’impero spagnolo, quando leggo nelle fonti del XVIII secolo di detenuti deportati da Cadice alla costa patagonica o di </w:t>
      </w:r>
      <w:r>
        <w:rPr>
          <w:rFonts w:ascii="Arial" w:hAnsi="Arial" w:cs="Arial"/>
          <w:iCs/>
          <w:sz w:val="20"/>
          <w:szCs w:val="20"/>
        </w:rPr>
        <w:t>indios</w:t>
      </w:r>
      <w:r>
        <w:rPr>
          <w:rFonts w:ascii="Arial" w:hAnsi="Arial" w:cs="Arial"/>
          <w:sz w:val="20"/>
          <w:szCs w:val="20"/>
        </w:rPr>
        <w:t xml:space="preserve"> che fuggono dal tributo rifugiandosi nelle aree che gli spagnoli chiamavano </w:t>
      </w:r>
      <w:proofErr w:type="spellStart"/>
      <w:r>
        <w:rPr>
          <w:rFonts w:ascii="Arial" w:hAnsi="Arial" w:cs="Arial"/>
          <w:i/>
          <w:iCs/>
          <w:sz w:val="20"/>
          <w:szCs w:val="20"/>
        </w:rPr>
        <w:t>despoblados</w:t>
      </w:r>
      <w:proofErr w:type="spellEnd"/>
      <w:r>
        <w:rPr>
          <w:rFonts w:ascii="Arial" w:hAnsi="Arial" w:cs="Arial"/>
          <w:sz w:val="20"/>
          <w:szCs w:val="20"/>
        </w:rPr>
        <w:t xml:space="preserve">, sento spesso la necessità di visualizzare i luoghi di cui trattano, anche per comprendere la materialità dei processi in questione. Non si tratta solo di visualizzare gli spazi e immaginare le connessioni, ma anche di comprendere i nessi tra individui, gruppi e istituzioni: dove erano quando scrivevano una petizione o ordinavano un arresto? Che differenza faceva se erano in una </w:t>
      </w:r>
      <w:proofErr w:type="spellStart"/>
      <w:r>
        <w:rPr>
          <w:rFonts w:ascii="Arial" w:hAnsi="Arial" w:cs="Arial"/>
          <w:i/>
          <w:sz w:val="20"/>
          <w:szCs w:val="20"/>
        </w:rPr>
        <w:t>reducción</w:t>
      </w:r>
      <w:proofErr w:type="spellEnd"/>
      <w:r>
        <w:rPr>
          <w:rFonts w:ascii="Arial" w:hAnsi="Arial" w:cs="Arial"/>
          <w:i/>
          <w:sz w:val="20"/>
          <w:szCs w:val="20"/>
        </w:rPr>
        <w:t xml:space="preserve"> </w:t>
      </w:r>
      <w:r>
        <w:rPr>
          <w:rFonts w:ascii="Arial" w:hAnsi="Arial" w:cs="Arial"/>
          <w:sz w:val="20"/>
          <w:szCs w:val="20"/>
        </w:rPr>
        <w:t xml:space="preserve">appena costituita o in un centro urbano come Quito o Lima? </w:t>
      </w:r>
    </w:p>
    <w:p w14:paraId="72A1BA9B" w14:textId="77777777" w:rsidR="00FE7B70" w:rsidRDefault="00000000">
      <w:pPr>
        <w:rPr>
          <w:rFonts w:ascii="Arial" w:hAnsi="Arial" w:cs="Arial"/>
          <w:sz w:val="20"/>
          <w:szCs w:val="20"/>
        </w:rPr>
      </w:pPr>
      <w:r>
        <w:rPr>
          <w:rFonts w:ascii="Arial" w:hAnsi="Arial" w:cs="Arial"/>
          <w:sz w:val="20"/>
          <w:szCs w:val="20"/>
        </w:rPr>
        <w:t>Inoltre, visualizzare è importante, a mio avviso, per avere una visione complessa delle trasformazioni storiche. Quando si visualizza il processo di deportazione penale nell’impero spagnolo, ad esempio, si nota subito l’insufficienza di qualunque schema analitico che implichi la coppia continuità/discontinuità: si vedono invece alcune pratiche sociali che continuano, altre che si fermano, altre ancora che proseguono ma assumono un diverso significato all’interno di una mutata configurazione. Anche qui, è un fatto di spazialità, ma anche di persone e di concetti: non cambiano o restano solo i luoghi che partecipano in un processo sociale ma si modificano anche gli attori che fanno quel processo e le categorie che utilizzano per descriverlo. E quindi la trasformazione diventa complessa e questa complessità diventa interessante perché ci permette di comprendere la logica intrinseca di quei processi sociali: perché luoghi e attori cambiano? E perché invece alcuni luoghi continuano a svolgere un ruolo importante, mentre gli attori al loro interno cambiano del tutto o in parte? Chi sono questi nuovi attori e dove sono finiti gli altri?</w:t>
      </w:r>
    </w:p>
    <w:p w14:paraId="4180C265" w14:textId="77777777" w:rsidR="00FE7B70" w:rsidRDefault="00000000">
      <w:pPr>
        <w:rPr>
          <w:rFonts w:ascii="Arial" w:hAnsi="Arial" w:cs="Arial"/>
          <w:sz w:val="20"/>
          <w:szCs w:val="20"/>
        </w:rPr>
      </w:pPr>
      <w:r>
        <w:rPr>
          <w:rFonts w:ascii="Arial" w:hAnsi="Arial" w:cs="Arial"/>
          <w:sz w:val="20"/>
          <w:szCs w:val="20"/>
        </w:rPr>
        <w:t>Questa della visualizzazione è una strategia che cerco di utilizzare anche nell’insegnamento. Nella fase di prima strutturazione di un paper o di una tesi chiedo spesso agli studenti e alle studentesse di visualizzare le idee magari ancora vaghe che associano ai processi che vogliono studiare. Nella fase di scrittura, chiedo loro di visualizzare il modo in cui i processi storici che studiano sono collegati tra di loro, prestando attenzione ai luoghi, alle persone, ai gruppi, ai concetti, come pure ai modi in cui essi circolano tra diversi luoghi.</w:t>
      </w:r>
    </w:p>
    <w:p w14:paraId="03AE80BA" w14:textId="77777777" w:rsidR="00FE7B70" w:rsidRDefault="00000000">
      <w:pPr>
        <w:rPr>
          <w:rFonts w:ascii="Arial" w:hAnsi="Arial" w:cs="Arial"/>
          <w:sz w:val="20"/>
          <w:szCs w:val="20"/>
        </w:rPr>
      </w:pPr>
      <w:r>
        <w:rPr>
          <w:rFonts w:ascii="Arial" w:hAnsi="Arial" w:cs="Arial"/>
          <w:sz w:val="20"/>
          <w:szCs w:val="20"/>
        </w:rPr>
        <w:t xml:space="preserve"> </w:t>
      </w:r>
    </w:p>
    <w:p w14:paraId="588CFF7D" w14:textId="77777777" w:rsidR="00FE7B70" w:rsidRDefault="00FE7B70">
      <w:pPr>
        <w:rPr>
          <w:rFonts w:ascii="Arial" w:hAnsi="Arial" w:cs="Arial"/>
          <w:i/>
          <w:iCs/>
          <w:strike/>
          <w:sz w:val="20"/>
          <w:szCs w:val="20"/>
        </w:rPr>
      </w:pPr>
    </w:p>
    <w:p w14:paraId="343246C9" w14:textId="77777777" w:rsidR="00FE7B70" w:rsidRDefault="00000000">
      <w:pPr>
        <w:rPr>
          <w:rFonts w:ascii="Arial" w:hAnsi="Arial" w:cs="Arial"/>
          <w:sz w:val="20"/>
          <w:szCs w:val="20"/>
        </w:rPr>
      </w:pPr>
      <w:r>
        <w:rPr>
          <w:rFonts w:ascii="Arial" w:hAnsi="Arial" w:cs="Arial"/>
          <w:sz w:val="20"/>
          <w:szCs w:val="20"/>
        </w:rPr>
        <w:t xml:space="preserve">? </w:t>
      </w:r>
      <w:r>
        <w:rPr>
          <w:rFonts w:ascii="Arial" w:hAnsi="Arial" w:cs="Arial"/>
          <w:i/>
          <w:iCs/>
          <w:sz w:val="20"/>
          <w:szCs w:val="20"/>
        </w:rPr>
        <w:t>Il metodo che proponi ci sembra anche utile al fine di evitare di cadere in una pigra contrapposizione binaria tra centro e periferia. Magari anche connotata da un giudizio aprioristico di valore: per cui al centro (negativo) è da contrapporsi la periferia (positiva): e quindi la storia dei subalterni, dei marginali, dei senza voce... Si tratta di un’aberrazione prospettica che abbiamo cercato di evitare, per quanto il nostro intento fosse proprio quello di spostare l’attenzione oltre le reti apicali di dirigenti politici e intellettuali, guardando quindi «ai margini della storia» – per riprendere un celebre</w:t>
      </w:r>
      <w:r>
        <w:rPr>
          <w:rFonts w:ascii="Arial" w:hAnsi="Arial" w:cs="Arial"/>
          <w:sz w:val="20"/>
          <w:szCs w:val="20"/>
        </w:rPr>
        <w:t xml:space="preserve"> </w:t>
      </w:r>
      <w:r>
        <w:rPr>
          <w:rFonts w:ascii="Arial" w:hAnsi="Arial" w:cs="Arial"/>
          <w:i/>
          <w:iCs/>
          <w:sz w:val="20"/>
          <w:szCs w:val="20"/>
        </w:rPr>
        <w:t>titolo gramsciano (Gramsci 1975). In verità è stata proprio la storia sociale metodologicamente più consapevole a sottrarsi a questo recinto dalla forte connotazione morale…</w:t>
      </w:r>
      <w:r>
        <w:rPr>
          <w:rFonts w:ascii="Arial" w:hAnsi="Arial" w:cs="Arial"/>
          <w:sz w:val="20"/>
          <w:szCs w:val="20"/>
        </w:rPr>
        <w:t xml:space="preserve">   </w:t>
      </w:r>
    </w:p>
    <w:p w14:paraId="07D267D6" w14:textId="77777777" w:rsidR="00FE7B70" w:rsidRDefault="00FE7B70">
      <w:pPr>
        <w:rPr>
          <w:rFonts w:ascii="Arial" w:hAnsi="Arial" w:cs="Arial"/>
          <w:sz w:val="20"/>
          <w:szCs w:val="20"/>
        </w:rPr>
      </w:pPr>
    </w:p>
    <w:p w14:paraId="2DE635EA" w14:textId="77777777" w:rsidR="00FE7B70" w:rsidRDefault="00000000">
      <w:pPr>
        <w:rPr>
          <w:rFonts w:ascii="Arial" w:hAnsi="Arial" w:cs="Arial"/>
          <w:sz w:val="20"/>
          <w:szCs w:val="20"/>
        </w:rPr>
      </w:pPr>
      <w:r>
        <w:rPr>
          <w:rFonts w:ascii="Arial" w:hAnsi="Arial" w:cs="Arial"/>
          <w:sz w:val="20"/>
          <w:szCs w:val="20"/>
        </w:rPr>
        <w:t xml:space="preserve">! Riposizionarsi «ai margini della storia», così come rileggere i processi storici “dal basso”, è stato fondamentale per scalfire un modo unidirezionale ed escludente di fare storia. Lo facciamo nostro, ma </w:t>
      </w:r>
      <w:r>
        <w:rPr>
          <w:rFonts w:ascii="Arial" w:hAnsi="Arial" w:cs="Arial"/>
          <w:sz w:val="20"/>
          <w:szCs w:val="20"/>
        </w:rPr>
        <w:lastRenderedPageBreak/>
        <w:t>comprendiamo anche che non può bastare, perché rischia di limitarci e, paradossalmente, di riprodurre parti di quegli schemi analitici che vogliamo superare.</w:t>
      </w:r>
    </w:p>
    <w:p w14:paraId="73AF1C2F" w14:textId="77777777" w:rsidR="00FE7B70" w:rsidRDefault="00000000">
      <w:pPr>
        <w:rPr>
          <w:rFonts w:ascii="Arial" w:hAnsi="Arial" w:cs="Arial"/>
          <w:sz w:val="20"/>
          <w:szCs w:val="20"/>
        </w:rPr>
      </w:pPr>
      <w:r>
        <w:rPr>
          <w:rFonts w:ascii="Arial" w:hAnsi="Arial" w:cs="Arial"/>
          <w:sz w:val="20"/>
          <w:szCs w:val="20"/>
        </w:rPr>
        <w:t xml:space="preserve">La contrapposizione centro/periferia descriveva un modello interpretativo politico e intellettuale che prefigurava la scala di rilevanza delle pratiche sociali, privilegiando l’Europa sul “resto”, lo stato sulla società, i centri urbani su quelli rurali etc. In un’ottica processuale come quella che ho cercato di descrivere poc’anzi, è evidente che non basta spostare il punto di osservazione fuori dall’Europa, ma bisogna superare radicalmente quel binomio. Ci servono concetti che ci consentano di dare conto della connettività alla base dei processi sociali, senza per questo perdere di vista le dinamiche di potere e gli equilibri di forza. </w:t>
      </w:r>
    </w:p>
    <w:p w14:paraId="1FD93089" w14:textId="77777777" w:rsidR="00FE7B70" w:rsidRDefault="00000000">
      <w:pPr>
        <w:rPr>
          <w:rFonts w:ascii="Arial" w:hAnsi="Arial" w:cs="Arial"/>
          <w:sz w:val="20"/>
          <w:szCs w:val="20"/>
        </w:rPr>
      </w:pPr>
      <w:r>
        <w:rPr>
          <w:rFonts w:ascii="Arial" w:hAnsi="Arial" w:cs="Arial"/>
          <w:sz w:val="20"/>
          <w:szCs w:val="20"/>
        </w:rPr>
        <w:t xml:space="preserve">In questo senso, mi pare importante la proposta teorica della storica svizzera Anne </w:t>
      </w:r>
      <w:proofErr w:type="spellStart"/>
      <w:r>
        <w:rPr>
          <w:rFonts w:ascii="Arial" w:hAnsi="Arial" w:cs="Arial"/>
          <w:sz w:val="20"/>
          <w:szCs w:val="20"/>
        </w:rPr>
        <w:t>Radeff</w:t>
      </w:r>
      <w:proofErr w:type="spellEnd"/>
      <w:r>
        <w:rPr>
          <w:rFonts w:ascii="Arial" w:hAnsi="Arial" w:cs="Arial"/>
          <w:sz w:val="20"/>
          <w:szCs w:val="20"/>
        </w:rPr>
        <w:t xml:space="preserve"> (2007), non a caso inserita in un volume di microstoria ma troppo poco nota. Si tratta dell’idea di sostituire al binomio centro/periferia i concetti di </w:t>
      </w:r>
      <w:r>
        <w:rPr>
          <w:rFonts w:ascii="Arial" w:hAnsi="Arial" w:cs="Arial"/>
          <w:i/>
          <w:iCs/>
          <w:sz w:val="20"/>
          <w:szCs w:val="20"/>
        </w:rPr>
        <w:t>centralità</w:t>
      </w:r>
      <w:r>
        <w:rPr>
          <w:rFonts w:ascii="Arial" w:hAnsi="Arial" w:cs="Arial"/>
          <w:sz w:val="20"/>
          <w:szCs w:val="20"/>
        </w:rPr>
        <w:t xml:space="preserve"> e </w:t>
      </w:r>
      <w:proofErr w:type="spellStart"/>
      <w:r>
        <w:rPr>
          <w:rFonts w:ascii="Arial" w:hAnsi="Arial" w:cs="Arial"/>
          <w:i/>
          <w:iCs/>
          <w:sz w:val="20"/>
          <w:szCs w:val="20"/>
        </w:rPr>
        <w:t>decentralità</w:t>
      </w:r>
      <w:proofErr w:type="spellEnd"/>
      <w:r>
        <w:rPr>
          <w:rFonts w:ascii="Arial" w:hAnsi="Arial" w:cs="Arial"/>
          <w:sz w:val="20"/>
          <w:szCs w:val="20"/>
        </w:rPr>
        <w:t xml:space="preserve">. Di fronte a un processo storico-sociale specifico che è oggetto della nostra ricerca, implica chiedersi quale luogo, quale attore, quale (parte di) istituzione hanno svolto un ruolo più o meno rilevante. Questo implica anche che un territorio, un’istituzione o un movimento possono aver svolto un ruolo centrale rispetto a un determinato processo sociale, restando invece marginali rispetto a un altro o altri processi sociali. Inoltre, la centralità e la </w:t>
      </w:r>
      <w:proofErr w:type="spellStart"/>
      <w:r>
        <w:rPr>
          <w:rFonts w:ascii="Arial" w:hAnsi="Arial" w:cs="Arial"/>
          <w:sz w:val="20"/>
          <w:szCs w:val="20"/>
        </w:rPr>
        <w:t>decentralità</w:t>
      </w:r>
      <w:proofErr w:type="spellEnd"/>
      <w:r>
        <w:rPr>
          <w:rFonts w:ascii="Arial" w:hAnsi="Arial" w:cs="Arial"/>
          <w:sz w:val="20"/>
          <w:szCs w:val="20"/>
        </w:rPr>
        <w:t xml:space="preserve"> non si danno una volta e per tutte, ma possono mutare nel tempo. Nelle ricerche di questo volume sull’antimperialismo in Italia, un certo collettivo o una determinata rivista possono essere stati centrali in un dato periodo, per poi divenire marginali in un altro. Ma anche: i riferimenti centrali di un certo periodo (ad esempio l’Algeria, la Tanzania, Cuba e il Vietnam) possono essere diventati decentrali in un altro periodo, nel quale la configurazione rilevante per l’antimperialismo italiano ha invece ruotato in modo più consistente attorno a Sud Africa, Nicaragua e Filippine.</w:t>
      </w:r>
    </w:p>
    <w:p w14:paraId="6A27BC2D" w14:textId="77777777" w:rsidR="00FE7B70" w:rsidRDefault="00000000">
      <w:pPr>
        <w:rPr>
          <w:rFonts w:ascii="Arial" w:hAnsi="Arial" w:cs="Arial"/>
          <w:sz w:val="20"/>
          <w:szCs w:val="20"/>
        </w:rPr>
      </w:pPr>
      <w:r>
        <w:rPr>
          <w:rFonts w:ascii="Arial" w:hAnsi="Arial" w:cs="Arial"/>
          <w:sz w:val="20"/>
          <w:szCs w:val="20"/>
        </w:rPr>
        <w:t xml:space="preserve">Superare il binomio centro/periferia può funzionare come uno stimolo a guardare in modo più aperto e creativo alla spazialità. Qui c’è un grappolo di concetti che possono aiutarci a mio avviso. Li elenco sommariamente: </w:t>
      </w:r>
    </w:p>
    <w:p w14:paraId="116B0456" w14:textId="77777777" w:rsidR="00FE7B70" w:rsidRDefault="00FE7B70">
      <w:pPr>
        <w:rPr>
          <w:rFonts w:ascii="Arial" w:hAnsi="Arial" w:cs="Arial"/>
          <w:sz w:val="20"/>
          <w:szCs w:val="20"/>
        </w:rPr>
      </w:pPr>
    </w:p>
    <w:p w14:paraId="5191FFA1" w14:textId="77777777" w:rsidR="00FE7B70" w:rsidRDefault="00000000">
      <w:pPr>
        <w:rPr>
          <w:rFonts w:ascii="Arial" w:hAnsi="Arial" w:cs="Arial"/>
          <w:sz w:val="20"/>
          <w:szCs w:val="20"/>
        </w:rPr>
      </w:pPr>
      <w:r>
        <w:rPr>
          <w:rFonts w:ascii="Arial" w:hAnsi="Arial" w:cs="Arial"/>
          <w:sz w:val="20"/>
          <w:szCs w:val="20"/>
        </w:rPr>
        <w:t>1.</w:t>
      </w:r>
      <w:r>
        <w:rPr>
          <w:rFonts w:ascii="Arial" w:hAnsi="Arial" w:cs="Arial"/>
          <w:i/>
          <w:iCs/>
          <w:sz w:val="20"/>
          <w:szCs w:val="20"/>
        </w:rPr>
        <w:t xml:space="preserve"> </w:t>
      </w:r>
      <w:proofErr w:type="spellStart"/>
      <w:r>
        <w:rPr>
          <w:rFonts w:ascii="Arial" w:hAnsi="Arial" w:cs="Arial"/>
          <w:i/>
          <w:iCs/>
          <w:sz w:val="20"/>
          <w:szCs w:val="20"/>
        </w:rPr>
        <w:t>Translocalità</w:t>
      </w:r>
      <w:proofErr w:type="spellEnd"/>
      <w:r>
        <w:rPr>
          <w:rFonts w:ascii="Arial" w:hAnsi="Arial" w:cs="Arial"/>
          <w:sz w:val="20"/>
          <w:szCs w:val="20"/>
        </w:rPr>
        <w:t xml:space="preserve"> – un concetto introdotto da geografi e antropologi e portato nella storiografia da Ulrike Freitag e Achim von </w:t>
      </w:r>
      <w:proofErr w:type="spellStart"/>
      <w:r>
        <w:rPr>
          <w:rFonts w:ascii="Arial" w:hAnsi="Arial" w:cs="Arial"/>
          <w:sz w:val="20"/>
          <w:szCs w:val="20"/>
        </w:rPr>
        <w:t>Oppen</w:t>
      </w:r>
      <w:proofErr w:type="spellEnd"/>
      <w:r>
        <w:rPr>
          <w:rFonts w:ascii="Arial" w:hAnsi="Arial" w:cs="Arial"/>
          <w:sz w:val="20"/>
          <w:szCs w:val="20"/>
        </w:rPr>
        <w:t xml:space="preserve"> (2010; e anche </w:t>
      </w:r>
      <w:proofErr w:type="spellStart"/>
      <w:r>
        <w:rPr>
          <w:rFonts w:ascii="Arial" w:hAnsi="Arial" w:cs="Arial"/>
          <w:sz w:val="20"/>
          <w:szCs w:val="20"/>
        </w:rPr>
        <w:t>Brickell</w:t>
      </w:r>
      <w:proofErr w:type="spellEnd"/>
      <w:r>
        <w:rPr>
          <w:rFonts w:ascii="Arial" w:hAnsi="Arial" w:cs="Arial"/>
          <w:sz w:val="20"/>
          <w:szCs w:val="20"/>
        </w:rPr>
        <w:t xml:space="preserve">, </w:t>
      </w:r>
      <w:proofErr w:type="spellStart"/>
      <w:r>
        <w:rPr>
          <w:rFonts w:ascii="Arial" w:hAnsi="Arial" w:cs="Arial"/>
          <w:sz w:val="20"/>
          <w:szCs w:val="20"/>
        </w:rPr>
        <w:t>Datta</w:t>
      </w:r>
      <w:proofErr w:type="spellEnd"/>
      <w:r>
        <w:rPr>
          <w:rFonts w:ascii="Arial" w:hAnsi="Arial" w:cs="Arial"/>
          <w:sz w:val="20"/>
          <w:szCs w:val="20"/>
        </w:rPr>
        <w:t xml:space="preserve"> 2011), utile perché ci costringe a guardare in concreto quali luoghi specifici sono coinvolti in un dato processo sociale, quali individui e sistemi di comunicazione e trasporto li collegavano e quali immaginari erano associati a ciascun luogo.</w:t>
      </w:r>
    </w:p>
    <w:p w14:paraId="690899A7" w14:textId="77777777" w:rsidR="00FE7B70" w:rsidRDefault="00000000">
      <w:pPr>
        <w:rPr>
          <w:rFonts w:ascii="Arial" w:hAnsi="Arial" w:cs="Arial"/>
          <w:i/>
          <w:iCs/>
          <w:sz w:val="20"/>
          <w:szCs w:val="20"/>
        </w:rPr>
      </w:pPr>
      <w:r>
        <w:rPr>
          <w:rFonts w:ascii="Arial" w:hAnsi="Arial" w:cs="Arial"/>
          <w:sz w:val="20"/>
          <w:szCs w:val="20"/>
        </w:rPr>
        <w:t xml:space="preserve">2. </w:t>
      </w:r>
      <w:r>
        <w:rPr>
          <w:rFonts w:ascii="Arial" w:hAnsi="Arial" w:cs="Arial"/>
          <w:i/>
          <w:iCs/>
          <w:sz w:val="20"/>
          <w:szCs w:val="20"/>
        </w:rPr>
        <w:t>Contesto pertinente</w:t>
      </w:r>
      <w:r>
        <w:rPr>
          <w:rFonts w:ascii="Arial" w:hAnsi="Arial" w:cs="Arial"/>
          <w:sz w:val="20"/>
          <w:szCs w:val="20"/>
        </w:rPr>
        <w:t xml:space="preserve"> – un concetto che viene dalla microstoria italiana (Allegra 2011) e che ci permette di evitare di considerare il «contesto» come sinonimo di un singolo luogo, evidenziando invece che il contesto di un determinato processo sociale è l’insieme dei luoghi, delle connessioni, delle idee e degli attori storici collegati ad esso. Il che, da un punto di vista conoscitivo, vuole anche dire che possiamo chiederci quale sia l’insieme di pratiche, luoghi, individui, gruppi e istituzioni che è prioritario studiare per rispondere a una data domanda di ricerca. È quindi un invito alla riflessività in tutti i momenti della ricerca stessa: perché ho dato priorità a quegli attori sociali e non ad altri, perché mi sono concentrato/a principalmente su quei luoghi, su quelle fonti, su quelle connessioni?</w:t>
      </w:r>
    </w:p>
    <w:p w14:paraId="09FB9787" w14:textId="77777777" w:rsidR="00FE7B70" w:rsidRDefault="00000000">
      <w:pPr>
        <w:rPr>
          <w:rFonts w:ascii="Arial" w:hAnsi="Arial" w:cs="Arial"/>
          <w:sz w:val="20"/>
          <w:szCs w:val="20"/>
        </w:rPr>
      </w:pPr>
      <w:r>
        <w:rPr>
          <w:rFonts w:ascii="Arial" w:hAnsi="Arial" w:cs="Arial"/>
          <w:sz w:val="20"/>
          <w:szCs w:val="20"/>
        </w:rPr>
        <w:t xml:space="preserve">3. </w:t>
      </w:r>
      <w:r>
        <w:rPr>
          <w:rFonts w:ascii="Arial" w:hAnsi="Arial" w:cs="Arial"/>
          <w:i/>
          <w:iCs/>
          <w:sz w:val="20"/>
          <w:szCs w:val="20"/>
        </w:rPr>
        <w:t>Singolarità connesse</w:t>
      </w:r>
      <w:r>
        <w:rPr>
          <w:rFonts w:ascii="Arial" w:hAnsi="Arial" w:cs="Arial"/>
          <w:sz w:val="20"/>
          <w:szCs w:val="20"/>
        </w:rPr>
        <w:t xml:space="preserve"> – un concetto che ho proposto per guardare ai luoghi nella loro specificità, evitando allo stesso tempo di considerare la specificità il prodotto di un isolamento (De Vito 2019). Al contrario, ogni luogo è specifico perché è attraversato da specifici gruppi di connessioni – per usare un’altra metafora presente nella storiografia, ogni luogo è una </w:t>
      </w:r>
      <w:r>
        <w:rPr>
          <w:rFonts w:ascii="Arial" w:hAnsi="Arial" w:cs="Arial"/>
          <w:i/>
          <w:iCs/>
          <w:sz w:val="20"/>
          <w:szCs w:val="20"/>
        </w:rPr>
        <w:t>contact zone</w:t>
      </w:r>
      <w:r>
        <w:rPr>
          <w:rFonts w:ascii="Arial" w:hAnsi="Arial" w:cs="Arial"/>
          <w:sz w:val="20"/>
          <w:szCs w:val="20"/>
        </w:rPr>
        <w:t xml:space="preserve"> tra persone, saperi, oggetti etc. (Pratt 1992; Lombard 2004; </w:t>
      </w:r>
      <w:proofErr w:type="spellStart"/>
      <w:r>
        <w:rPr>
          <w:rFonts w:ascii="Arial" w:hAnsi="Arial" w:cs="Arial"/>
          <w:sz w:val="20"/>
          <w:szCs w:val="20"/>
        </w:rPr>
        <w:t>Mulich</w:t>
      </w:r>
      <w:proofErr w:type="spellEnd"/>
      <w:r>
        <w:rPr>
          <w:rFonts w:ascii="Arial" w:hAnsi="Arial" w:cs="Arial"/>
          <w:sz w:val="20"/>
          <w:szCs w:val="20"/>
        </w:rPr>
        <w:t xml:space="preserve"> 2013)</w:t>
      </w:r>
    </w:p>
    <w:p w14:paraId="13F0D330" w14:textId="77777777" w:rsidR="00FE7B70" w:rsidRDefault="00FE7B70">
      <w:pPr>
        <w:pStyle w:val="ListParagraph"/>
        <w:rPr>
          <w:rFonts w:ascii="Arial" w:hAnsi="Arial" w:cs="Arial"/>
          <w:sz w:val="20"/>
          <w:szCs w:val="20"/>
        </w:rPr>
      </w:pPr>
    </w:p>
    <w:p w14:paraId="18E2944F" w14:textId="77777777" w:rsidR="00FE7B70" w:rsidRDefault="00000000">
      <w:pPr>
        <w:rPr>
          <w:rFonts w:ascii="Arial" w:hAnsi="Arial" w:cs="Arial"/>
          <w:sz w:val="20"/>
          <w:szCs w:val="20"/>
        </w:rPr>
      </w:pPr>
      <w:r>
        <w:rPr>
          <w:rFonts w:ascii="Arial" w:hAnsi="Arial" w:cs="Arial"/>
          <w:sz w:val="20"/>
          <w:szCs w:val="20"/>
        </w:rPr>
        <w:t>Sono tutti concetti che rompono le visioni binarie della spazialità e del mondo sociale e cercano di restituire la complessità dei processi sociali. Ovviamente, hanno anche un potenziale politico: rompono con l’idea del “locale” come una fortezza dentro la quale chiudersi per reagire agli inarrivabili processi “globali”, mostrando invece che i processi globali non solo segnano profondamente ciascun luogo e ciascun individuo, ma sono da essi in vario modo prodotti.</w:t>
      </w:r>
    </w:p>
    <w:p w14:paraId="47605332" w14:textId="77777777" w:rsidR="00FE7B70" w:rsidRDefault="00FE7B70">
      <w:pPr>
        <w:rPr>
          <w:rFonts w:ascii="Arial" w:hAnsi="Arial" w:cs="Arial"/>
          <w:sz w:val="20"/>
          <w:szCs w:val="20"/>
        </w:rPr>
      </w:pPr>
    </w:p>
    <w:p w14:paraId="55647D5B" w14:textId="77777777" w:rsidR="00FE7B70" w:rsidRDefault="00000000">
      <w:pPr>
        <w:rPr>
          <w:rFonts w:ascii="Arial" w:hAnsi="Arial" w:cs="Arial"/>
          <w:sz w:val="20"/>
          <w:szCs w:val="20"/>
        </w:rPr>
      </w:pPr>
      <w:r>
        <w:rPr>
          <w:rFonts w:ascii="Arial" w:hAnsi="Arial" w:cs="Arial"/>
          <w:sz w:val="20"/>
          <w:szCs w:val="20"/>
        </w:rPr>
        <w:t xml:space="preserve">La seconda parte della tua domanda è ugualmente importante, perché permette di cogliere un limite di una certa storiografia e teoria postcoloniale. In effetti, a mio avviso troppo spesso l’esperienza coloniale nel sud globale viene contrapposta a una visione stereotipata della storia europea. Quest’ultima riproduce di fatto la visione che le élite imperiali europee proiettavano verso l’esterno per legittimare il proprio dominio sulle colonie. È una visione ideologica, sotto la quale si celano le disuguaglianze, lo sfruttamento e i conflitti sociali che hanno caratterizzato anche la storia europea. È fuorviante sostenere, ad esempio, che nel XIX e XX secolo le colonie fossero territori in cui dominava un permanente stato di eccezione legale, mentre in Europa trionfava la </w:t>
      </w:r>
      <w:r>
        <w:rPr>
          <w:rFonts w:ascii="Arial" w:hAnsi="Arial" w:cs="Arial"/>
          <w:i/>
          <w:iCs/>
          <w:sz w:val="20"/>
          <w:szCs w:val="20"/>
        </w:rPr>
        <w:t xml:space="preserve">rule of </w:t>
      </w:r>
      <w:proofErr w:type="spellStart"/>
      <w:r>
        <w:rPr>
          <w:rFonts w:ascii="Arial" w:hAnsi="Arial" w:cs="Arial"/>
          <w:i/>
          <w:iCs/>
          <w:sz w:val="20"/>
          <w:szCs w:val="20"/>
        </w:rPr>
        <w:t>law</w:t>
      </w:r>
      <w:proofErr w:type="spellEnd"/>
      <w:r>
        <w:rPr>
          <w:rFonts w:ascii="Arial" w:hAnsi="Arial" w:cs="Arial"/>
          <w:sz w:val="20"/>
          <w:szCs w:val="20"/>
        </w:rPr>
        <w:t xml:space="preserve">. E ascrivere la violenza del potere solo all’orizzonte coloniale porterebbe alla rimozione della violenza subìta dalle popolazioni rurali o dagli operai in Europa, e dalle donne nel regime patriarcale in Europa. </w:t>
      </w:r>
    </w:p>
    <w:p w14:paraId="0B29DDE2" w14:textId="77777777" w:rsidR="00FE7B70" w:rsidRDefault="00000000">
      <w:pPr>
        <w:rPr>
          <w:rFonts w:ascii="Arial" w:hAnsi="Arial" w:cs="Arial"/>
          <w:sz w:val="20"/>
          <w:szCs w:val="20"/>
        </w:rPr>
      </w:pPr>
      <w:r>
        <w:rPr>
          <w:rFonts w:ascii="Arial" w:hAnsi="Arial" w:cs="Arial"/>
          <w:sz w:val="20"/>
          <w:szCs w:val="20"/>
        </w:rPr>
        <w:t xml:space="preserve">Bisogna poi chiedersi cosa sia questa “Europa”, di quale parte di Europa parliamo, l’Europa di quali gruppi sociali, degli uomini o delle donne, l’Europa di quale periodo. Per altro verso, bisogna evitare di costruire un’immagine romanzata e orientalista delle masse subalterne del sud globale, come se fossero state permanentemente pronte alla rottura rivoluzionaria in contrasto con l’integrazione delle classi subalterne </w:t>
      </w:r>
      <w:r>
        <w:rPr>
          <w:rFonts w:ascii="Arial" w:hAnsi="Arial" w:cs="Arial"/>
          <w:sz w:val="20"/>
          <w:szCs w:val="20"/>
        </w:rPr>
        <w:lastRenderedPageBreak/>
        <w:t>europee. Anche in questo senso, è fondamentale ricongiungere la storiografia postcoloniale con la tradizione della storia sociale europea (e della storia sociale in generale), per restituire il quadro di un dominio coloniale che si esercitava in modo distinto ma anche connesso, sui soggetti subalterni coloniali quanto su quelli metropolitani. Quelle imperiali erano élite che parlavano dei contadini della metropoli come dei «nostri indios» o dei «nostri libici» e allo stesso tempo proiettavano sulle popolazioni colonizzate i pregiudizi e le forme di controllo che da secoli applicavano agli strati subalterni del mondo rurale e urbano metropolitani. Dobbiamo allora provare a ricostruire in modo connesso l’intero arco di pratiche di conflitto, collaborazione e negoziazione posto in atto dai soggetti subalterni, per poterne analizzare la logica e la sua evoluzione storica.</w:t>
      </w:r>
    </w:p>
    <w:p w14:paraId="6031E810" w14:textId="77777777" w:rsidR="00FE7B70" w:rsidRDefault="00FE7B70">
      <w:pPr>
        <w:rPr>
          <w:rFonts w:ascii="Arial" w:hAnsi="Arial" w:cs="Arial"/>
          <w:sz w:val="20"/>
          <w:szCs w:val="20"/>
        </w:rPr>
      </w:pPr>
    </w:p>
    <w:p w14:paraId="75A09A28" w14:textId="77777777" w:rsidR="00FE7B70" w:rsidRDefault="00FE7B70">
      <w:pPr>
        <w:rPr>
          <w:rFonts w:ascii="Arial" w:hAnsi="Arial" w:cs="Arial"/>
          <w:bCs/>
          <w:strike/>
          <w:sz w:val="20"/>
          <w:szCs w:val="20"/>
        </w:rPr>
      </w:pPr>
    </w:p>
    <w:p w14:paraId="2D46E366" w14:textId="77777777" w:rsidR="00FE7B70" w:rsidRDefault="00000000">
      <w:pPr>
        <w:rPr>
          <w:rFonts w:ascii="Arial" w:hAnsi="Arial" w:cs="Arial"/>
          <w:i/>
          <w:iCs/>
          <w:sz w:val="20"/>
          <w:szCs w:val="20"/>
        </w:rPr>
      </w:pPr>
      <w:r>
        <w:rPr>
          <w:rFonts w:ascii="Arial" w:hAnsi="Arial" w:cs="Arial"/>
          <w:sz w:val="20"/>
          <w:szCs w:val="20"/>
        </w:rPr>
        <w:t xml:space="preserve">? </w:t>
      </w:r>
      <w:r>
        <w:rPr>
          <w:rFonts w:ascii="Arial" w:hAnsi="Arial" w:cs="Arial"/>
          <w:i/>
          <w:iCs/>
          <w:sz w:val="20"/>
          <w:szCs w:val="20"/>
        </w:rPr>
        <w:t>Esattamente. Infatti,</w:t>
      </w:r>
      <w:r>
        <w:rPr>
          <w:rFonts w:ascii="Arial" w:hAnsi="Arial" w:cs="Arial"/>
          <w:sz w:val="20"/>
          <w:szCs w:val="20"/>
        </w:rPr>
        <w:t xml:space="preserve"> </w:t>
      </w:r>
      <w:r>
        <w:rPr>
          <w:rFonts w:ascii="Arial" w:hAnsi="Arial" w:cs="Arial"/>
          <w:i/>
          <w:iCs/>
          <w:sz w:val="20"/>
          <w:szCs w:val="20"/>
        </w:rPr>
        <w:t xml:space="preserve">la critica a una concezione semplicistica del rapporto tra centro e periferia non investe soltanto i contesti mettiamo delle reti militanti in Italia (da una parte mettiamo Botteghe Oscure e dall’altra la </w:t>
      </w:r>
      <w:proofErr w:type="spellStart"/>
      <w:r>
        <w:rPr>
          <w:rFonts w:ascii="Arial" w:hAnsi="Arial" w:cs="Arial"/>
          <w:i/>
          <w:iCs/>
          <w:sz w:val="20"/>
          <w:szCs w:val="20"/>
        </w:rPr>
        <w:t>Fgc</w:t>
      </w:r>
      <w:proofErr w:type="spellEnd"/>
      <w:r>
        <w:rPr>
          <w:rFonts w:ascii="Arial" w:hAnsi="Arial" w:cs="Arial"/>
          <w:i/>
          <w:iCs/>
          <w:sz w:val="20"/>
          <w:szCs w:val="20"/>
        </w:rPr>
        <w:t xml:space="preserve"> di Biella di cui era segretario il giovane Sante Notarnicola), ma anche il rapporto tra lo spazio occidentale e il resto, </w:t>
      </w:r>
      <w:r>
        <w:rPr>
          <w:rFonts w:ascii="Arial" w:hAnsi="Arial" w:cs="Arial"/>
          <w:sz w:val="20"/>
          <w:szCs w:val="20"/>
        </w:rPr>
        <w:t xml:space="preserve">the West and the </w:t>
      </w:r>
      <w:proofErr w:type="spellStart"/>
      <w:r>
        <w:rPr>
          <w:rFonts w:ascii="Arial" w:hAnsi="Arial" w:cs="Arial"/>
          <w:sz w:val="20"/>
          <w:szCs w:val="20"/>
        </w:rPr>
        <w:t>Rest</w:t>
      </w:r>
      <w:proofErr w:type="spellEnd"/>
      <w:r>
        <w:rPr>
          <w:rFonts w:ascii="Arial" w:hAnsi="Arial" w:cs="Arial"/>
          <w:i/>
          <w:iCs/>
          <w:sz w:val="20"/>
          <w:szCs w:val="20"/>
        </w:rPr>
        <w:t xml:space="preserve">…  </w:t>
      </w:r>
    </w:p>
    <w:p w14:paraId="138E8511" w14:textId="77777777" w:rsidR="00FE7B70" w:rsidRDefault="00000000">
      <w:pPr>
        <w:rPr>
          <w:rFonts w:ascii="Arial" w:hAnsi="Arial" w:cs="Arial"/>
          <w:i/>
          <w:iCs/>
          <w:sz w:val="20"/>
          <w:szCs w:val="20"/>
        </w:rPr>
      </w:pPr>
      <w:r>
        <w:rPr>
          <w:rFonts w:ascii="Arial" w:hAnsi="Arial" w:cs="Arial"/>
          <w:i/>
          <w:iCs/>
          <w:sz w:val="20"/>
          <w:szCs w:val="20"/>
        </w:rPr>
        <w:t xml:space="preserve">Uno storico francese molto originale, Romain Bertrand, ha provato a raccontare l’incontro tra olandesi e </w:t>
      </w:r>
      <w:proofErr w:type="spellStart"/>
      <w:r>
        <w:rPr>
          <w:rFonts w:ascii="Arial" w:hAnsi="Arial" w:cs="Arial"/>
          <w:i/>
          <w:iCs/>
          <w:sz w:val="20"/>
          <w:szCs w:val="20"/>
        </w:rPr>
        <w:t>javanesi</w:t>
      </w:r>
      <w:proofErr w:type="spellEnd"/>
      <w:r>
        <w:rPr>
          <w:rFonts w:ascii="Arial" w:hAnsi="Arial" w:cs="Arial"/>
          <w:i/>
          <w:iCs/>
          <w:sz w:val="20"/>
          <w:szCs w:val="20"/>
        </w:rPr>
        <w:t xml:space="preserve">, nel XVI e XVII secolo, come una storia «a parti uguali» (Bertrand 2011). Provando cioè a sfuggire al dispositivo retorico tradizionale e unidirezionale della conquista leggendo e incrociando le fonti lasciate dagli uni come dagli altri. Per quanto riguarda noi, dunque, la domanda è: come fare una storia delle culture politiche dei global </w:t>
      </w:r>
      <w:proofErr w:type="spellStart"/>
      <w:r>
        <w:rPr>
          <w:rFonts w:ascii="Arial" w:hAnsi="Arial" w:cs="Arial"/>
          <w:i/>
          <w:iCs/>
          <w:sz w:val="20"/>
          <w:szCs w:val="20"/>
        </w:rPr>
        <w:t>sixties</w:t>
      </w:r>
      <w:proofErr w:type="spellEnd"/>
      <w:r>
        <w:rPr>
          <w:rFonts w:ascii="Arial" w:hAnsi="Arial" w:cs="Arial"/>
          <w:i/>
          <w:iCs/>
          <w:sz w:val="20"/>
          <w:szCs w:val="20"/>
        </w:rPr>
        <w:t xml:space="preserve"> – e in particolare delle lotte anticoloniali e antimperialiste – che tenga insieme lo spazio europeo e quello (post)coloniale? Se ha senso ed è possibile fare una storia di questo tipo… </w:t>
      </w:r>
    </w:p>
    <w:p w14:paraId="5D939BD0" w14:textId="77777777" w:rsidR="00FE7B70" w:rsidRDefault="00FE7B70">
      <w:pPr>
        <w:rPr>
          <w:rFonts w:ascii="Arial" w:hAnsi="Arial" w:cs="Arial"/>
          <w:sz w:val="20"/>
          <w:szCs w:val="20"/>
        </w:rPr>
      </w:pPr>
    </w:p>
    <w:p w14:paraId="02CD7513" w14:textId="77777777" w:rsidR="00FE7B70" w:rsidRDefault="00000000">
      <w:pPr>
        <w:rPr>
          <w:rFonts w:ascii="Arial" w:hAnsi="Arial" w:cs="Arial"/>
          <w:sz w:val="20"/>
          <w:szCs w:val="20"/>
        </w:rPr>
      </w:pPr>
      <w:r>
        <w:rPr>
          <w:rFonts w:ascii="Arial" w:hAnsi="Arial" w:cs="Arial"/>
          <w:sz w:val="20"/>
          <w:szCs w:val="20"/>
        </w:rPr>
        <w:t xml:space="preserve">! Credo che abbia senso e che sia assolutamente fondamentale, sia a livello intellettuale che politico. Si tratta a mio avviso di provare a bilanciare l’oggettiva prevalenza delle fonti istituzionali e coloniali con i saperi dei soggetti subalterni e colonizzati. È un lavoro complesso ma estremamente importante, come ha mostrato Bertrand e anche, per restare agli studi sulle Filippine coloniali, il più recente </w:t>
      </w:r>
      <w:r>
        <w:rPr>
          <w:rFonts w:ascii="Arial" w:hAnsi="Arial" w:cs="Arial"/>
          <w:i/>
          <w:sz w:val="20"/>
          <w:szCs w:val="20"/>
        </w:rPr>
        <w:t xml:space="preserve">Incomplete </w:t>
      </w:r>
      <w:proofErr w:type="spellStart"/>
      <w:r>
        <w:rPr>
          <w:rFonts w:ascii="Arial" w:hAnsi="Arial" w:cs="Arial"/>
          <w:i/>
          <w:sz w:val="20"/>
          <w:szCs w:val="20"/>
        </w:rPr>
        <w:t>Conquests</w:t>
      </w:r>
      <w:proofErr w:type="spellEnd"/>
      <w:r>
        <w:rPr>
          <w:rFonts w:ascii="Arial" w:hAnsi="Arial" w:cs="Arial"/>
          <w:sz w:val="20"/>
          <w:szCs w:val="20"/>
        </w:rPr>
        <w:t xml:space="preserve"> di Stephanie Joy </w:t>
      </w:r>
      <w:proofErr w:type="spellStart"/>
      <w:r>
        <w:rPr>
          <w:rFonts w:ascii="Arial" w:hAnsi="Arial" w:cs="Arial"/>
          <w:sz w:val="20"/>
          <w:szCs w:val="20"/>
        </w:rPr>
        <w:t>Mawson</w:t>
      </w:r>
      <w:proofErr w:type="spellEnd"/>
      <w:r>
        <w:rPr>
          <w:rFonts w:ascii="Arial" w:hAnsi="Arial" w:cs="Arial"/>
          <w:sz w:val="20"/>
          <w:szCs w:val="20"/>
        </w:rPr>
        <w:t xml:space="preserve"> (2023). Non è un problema nuovo. È uno sforzo di creatività intellettuale simile a quello che ha portato decenni fa all’espansione del repertorio di fonti a disposizione degli storici e delle storiche: fonti orali, fonti visive, canti popolari e altre modalità di ricostruire quello che non era scritto, o che era scritto solo in parte. È un lavoro difficile, che comporta problemi anche pratici – la conoscenza delle lingue, la possibilità di fare ricerca multi-situata, il reperimento dei relativi finanziamenti etc. Se presa sul serio, è una prospettiva che spinge a ripensare in profondità l’organizzazione stessa delle strutture e dei saperi accademici. A partire dal fatto che implica una capacità di collaborazione orizzontale tra studiosi e studiose di varie parti del mondo – il contrario della competizione globale e dei </w:t>
      </w:r>
      <w:r>
        <w:rPr>
          <w:rFonts w:ascii="Arial" w:hAnsi="Arial" w:cs="Arial"/>
          <w:i/>
          <w:sz w:val="20"/>
          <w:szCs w:val="20"/>
        </w:rPr>
        <w:t>ranking</w:t>
      </w:r>
      <w:r>
        <w:rPr>
          <w:rFonts w:ascii="Arial" w:hAnsi="Arial" w:cs="Arial"/>
          <w:sz w:val="20"/>
          <w:szCs w:val="20"/>
        </w:rPr>
        <w:t xml:space="preserve"> tra istituzioni accademiche che il managerialismo neoliberale ha imposto.</w:t>
      </w:r>
    </w:p>
    <w:p w14:paraId="1F110CB5" w14:textId="77777777" w:rsidR="00FE7B70" w:rsidRDefault="00000000">
      <w:pPr>
        <w:rPr>
          <w:rFonts w:ascii="Arial" w:hAnsi="Arial" w:cs="Arial"/>
          <w:sz w:val="20"/>
          <w:szCs w:val="20"/>
        </w:rPr>
      </w:pPr>
      <w:r>
        <w:rPr>
          <w:rFonts w:ascii="Arial" w:hAnsi="Arial" w:cs="Arial"/>
          <w:sz w:val="20"/>
          <w:szCs w:val="20"/>
        </w:rPr>
        <w:t>A monte di questo bilanciamento (spesso incompleto ma comunque necessario) a livello delle fonti c’è un cambio di prospettiva, l’accettazione di un radicale processo di “straniamento” rispetto ai concetti e alle logiche che ci portiamo dietro per inerzia (Ginzburg 2021; Ferreira Carneiro 2022). Ascoltare le voci “dell’altra parte” mette in discussione assunti consolidati, ci costringe a guardare cose note da un punto di vista inatteso e per questo euristicamente molto produttivo. Per esempio, gli studi sugli imperi coloniali europei di epoca moderna e contemporanea hanno evidenziato i limiti e la frammentazione della sovranità di quelle formazioni politico-sociali, il carattere negoziale del potere esercitato dalle élite coloniali, il ruolo contraddittorio degli intermediari «indigeni». Questo cambia anche il modo di vedere la violenza coloniale, che non è più un fatto unidirezionale e scontato, ma va spiegata. Presumibilmente, cambia anche il modo di vedere le lotte anticoloniali e antimperialiste – non una lotta unificata contro un potere omogeneo e omogeneamente esercitato su territori e gruppi, ma una configurazione di pratiche di contestazione rispetto a un ventaglio molteplice e selettivo di pratiche di controllo, oppressione, legittimazione e privilegio.</w:t>
      </w:r>
    </w:p>
    <w:p w14:paraId="6C213513" w14:textId="77777777" w:rsidR="00FE7B70" w:rsidRDefault="00FE7B70">
      <w:pPr>
        <w:rPr>
          <w:rFonts w:ascii="Arial" w:hAnsi="Arial" w:cs="Arial"/>
          <w:sz w:val="20"/>
          <w:szCs w:val="20"/>
        </w:rPr>
      </w:pPr>
    </w:p>
    <w:p w14:paraId="50FE0905" w14:textId="77777777" w:rsidR="00FE7B70" w:rsidRDefault="00FE7B70">
      <w:pPr>
        <w:rPr>
          <w:rFonts w:ascii="Arial" w:hAnsi="Arial" w:cs="Arial"/>
          <w:sz w:val="20"/>
          <w:szCs w:val="20"/>
        </w:rPr>
      </w:pPr>
    </w:p>
    <w:p w14:paraId="3CACED0B" w14:textId="77777777" w:rsidR="00FE7B70" w:rsidRDefault="00000000">
      <w:pPr>
        <w:rPr>
          <w:rFonts w:ascii="Arial" w:hAnsi="Arial" w:cs="Arial"/>
          <w:sz w:val="20"/>
          <w:szCs w:val="20"/>
        </w:rPr>
      </w:pPr>
      <w:r>
        <w:rPr>
          <w:rFonts w:ascii="Arial" w:hAnsi="Arial" w:cs="Arial"/>
          <w:sz w:val="20"/>
          <w:szCs w:val="20"/>
        </w:rPr>
        <w:t xml:space="preserve">? </w:t>
      </w:r>
      <w:r>
        <w:rPr>
          <w:rFonts w:ascii="Arial" w:hAnsi="Arial" w:cs="Arial"/>
          <w:i/>
          <w:iCs/>
          <w:sz w:val="20"/>
          <w:szCs w:val="20"/>
        </w:rPr>
        <w:t>In che direzione, o direzioni, pensi che nello specifico dovrebbe muoversi una ricerca – come quella che stiamo portando avanti anche con «</w:t>
      </w:r>
      <w:proofErr w:type="spellStart"/>
      <w:r>
        <w:rPr>
          <w:rFonts w:ascii="Arial" w:hAnsi="Arial" w:cs="Arial"/>
          <w:i/>
          <w:iCs/>
          <w:sz w:val="20"/>
          <w:szCs w:val="20"/>
        </w:rPr>
        <w:t>Zapruder</w:t>
      </w:r>
      <w:proofErr w:type="spellEnd"/>
      <w:r>
        <w:rPr>
          <w:rFonts w:ascii="Arial" w:hAnsi="Arial" w:cs="Arial"/>
          <w:i/>
          <w:iCs/>
          <w:sz w:val="20"/>
          <w:szCs w:val="20"/>
        </w:rPr>
        <w:t xml:space="preserve">» – volta a rinnovare il nostro approccio alle culture politiche dei lunghi anni </w:t>
      </w:r>
      <w:proofErr w:type="gramStart"/>
      <w:r>
        <w:rPr>
          <w:rFonts w:ascii="Arial" w:hAnsi="Arial" w:cs="Arial"/>
          <w:i/>
          <w:iCs/>
          <w:sz w:val="20"/>
          <w:szCs w:val="20"/>
        </w:rPr>
        <w:t>sessanta</w:t>
      </w:r>
      <w:proofErr w:type="gramEnd"/>
      <w:r>
        <w:rPr>
          <w:rFonts w:ascii="Arial" w:hAnsi="Arial" w:cs="Arial"/>
          <w:i/>
          <w:iCs/>
          <w:sz w:val="20"/>
          <w:szCs w:val="20"/>
        </w:rPr>
        <w:t xml:space="preserve">, una ricerca che provi a mettere in pratica le tue indicazioni di metodo: e cioè </w:t>
      </w:r>
      <w:proofErr w:type="spellStart"/>
      <w:r>
        <w:rPr>
          <w:rFonts w:ascii="Arial" w:hAnsi="Arial" w:cs="Arial"/>
          <w:sz w:val="20"/>
          <w:szCs w:val="20"/>
        </w:rPr>
        <w:t>translocalità</w:t>
      </w:r>
      <w:proofErr w:type="spellEnd"/>
      <w:r>
        <w:rPr>
          <w:rFonts w:ascii="Arial" w:hAnsi="Arial" w:cs="Arial"/>
          <w:i/>
          <w:iCs/>
          <w:sz w:val="20"/>
          <w:szCs w:val="20"/>
        </w:rPr>
        <w:t xml:space="preserve">, </w:t>
      </w:r>
      <w:r>
        <w:rPr>
          <w:rFonts w:ascii="Arial" w:hAnsi="Arial" w:cs="Arial"/>
          <w:sz w:val="20"/>
          <w:szCs w:val="20"/>
        </w:rPr>
        <w:t xml:space="preserve">contesto pertinente </w:t>
      </w:r>
      <w:r>
        <w:rPr>
          <w:rFonts w:ascii="Arial" w:hAnsi="Arial" w:cs="Arial"/>
          <w:i/>
          <w:iCs/>
          <w:sz w:val="20"/>
          <w:szCs w:val="20"/>
        </w:rPr>
        <w:t>e</w:t>
      </w:r>
      <w:r>
        <w:rPr>
          <w:rFonts w:ascii="Arial" w:hAnsi="Arial" w:cs="Arial"/>
          <w:sz w:val="20"/>
          <w:szCs w:val="20"/>
        </w:rPr>
        <w:t xml:space="preserve"> singolarità connesse</w:t>
      </w:r>
      <w:r>
        <w:rPr>
          <w:rFonts w:ascii="Arial" w:hAnsi="Arial" w:cs="Arial"/>
          <w:i/>
          <w:iCs/>
          <w:sz w:val="20"/>
          <w:szCs w:val="20"/>
        </w:rPr>
        <w:t>? Tra le tante cose di cui ti sei occupato non dimentico infatti certo le ricerche che hai dedicato proprio al Sessantotto, studiando in particolare tre nodi chiave che catalizzarono la conflittualità di quella stagione: il carcere, l’antipsichiatria e il cristianesimo di base (De Vito 2009, 2010, 2011).</w:t>
      </w:r>
      <w:r>
        <w:rPr>
          <w:rFonts w:ascii="Arial" w:hAnsi="Arial" w:cs="Arial"/>
          <w:sz w:val="20"/>
          <w:szCs w:val="20"/>
        </w:rPr>
        <w:t xml:space="preserve"> </w:t>
      </w:r>
      <w:r>
        <w:rPr>
          <w:rFonts w:ascii="Arial" w:hAnsi="Arial" w:cs="Arial"/>
          <w:i/>
          <w:iCs/>
          <w:sz w:val="20"/>
          <w:szCs w:val="20"/>
        </w:rPr>
        <w:t xml:space="preserve">Mi sembra infatti che questo possa essere un terreno particolarmente fertile per mettere in pratica la tua proposta teorica. Una «modesta proposta» </w:t>
      </w:r>
      <w:r>
        <w:rPr>
          <w:rFonts w:ascii="Arial" w:hAnsi="Arial" w:cs="Arial"/>
          <w:i/>
          <w:iCs/>
          <w:sz w:val="20"/>
          <w:szCs w:val="20"/>
        </w:rPr>
        <w:softHyphen/>
        <w:t>– avrebbe detto Swift – per ovviare a quell’assurdità ancora così diffusa che consiste nello studiare e nell’insegnare le decolonizzazioni e il 1968 globale come due cose distinte…</w:t>
      </w:r>
      <w:r>
        <w:rPr>
          <w:rFonts w:ascii="Arial" w:hAnsi="Arial" w:cs="Arial"/>
          <w:sz w:val="20"/>
          <w:szCs w:val="20"/>
        </w:rPr>
        <w:t xml:space="preserve"> </w:t>
      </w:r>
    </w:p>
    <w:p w14:paraId="510E8BDF" w14:textId="77777777" w:rsidR="00FE7B70" w:rsidRDefault="00FE7B70">
      <w:pPr>
        <w:rPr>
          <w:rFonts w:ascii="Arial" w:hAnsi="Arial" w:cs="Arial"/>
          <w:sz w:val="20"/>
          <w:szCs w:val="20"/>
        </w:rPr>
      </w:pPr>
    </w:p>
    <w:p w14:paraId="3618D1CA" w14:textId="77777777" w:rsidR="00FE7B70" w:rsidRDefault="00000000">
      <w:pPr>
        <w:rPr>
          <w:rFonts w:ascii="Arial" w:hAnsi="Arial" w:cs="Arial"/>
          <w:sz w:val="20"/>
          <w:szCs w:val="20"/>
        </w:rPr>
      </w:pPr>
      <w:r>
        <w:rPr>
          <w:rFonts w:ascii="Arial" w:hAnsi="Arial" w:cs="Arial"/>
          <w:sz w:val="20"/>
          <w:szCs w:val="20"/>
        </w:rPr>
        <w:t xml:space="preserve">! Un aspetto affascinante dei global </w:t>
      </w:r>
      <w:proofErr w:type="spellStart"/>
      <w:r>
        <w:rPr>
          <w:rFonts w:ascii="Arial" w:hAnsi="Arial" w:cs="Arial"/>
          <w:sz w:val="20"/>
          <w:szCs w:val="20"/>
        </w:rPr>
        <w:t>sixties</w:t>
      </w:r>
      <w:proofErr w:type="spellEnd"/>
      <w:r>
        <w:rPr>
          <w:rFonts w:ascii="Arial" w:hAnsi="Arial" w:cs="Arial"/>
          <w:sz w:val="20"/>
          <w:szCs w:val="20"/>
        </w:rPr>
        <w:t xml:space="preserve"> a mio avviso sta nella dialettica tra il sentirsi parte di un movimento planetario e il lavoro quotidiano di costruzione di connessioni tra gruppi di persone concrete, collocati in luoghi e paesi specifici, utilizzando viaggi, visite, traduzioni di libri e lettere per costruire la </w:t>
      </w:r>
      <w:r>
        <w:rPr>
          <w:rFonts w:ascii="Arial" w:hAnsi="Arial" w:cs="Arial"/>
          <w:sz w:val="20"/>
          <w:szCs w:val="20"/>
        </w:rPr>
        <w:lastRenderedPageBreak/>
        <w:t xml:space="preserve">controinformazione, e poi volantini e megafono per produrre localmente una massa critica. Negli anni </w:t>
      </w:r>
      <w:proofErr w:type="gramStart"/>
      <w:r>
        <w:rPr>
          <w:rFonts w:ascii="Arial" w:hAnsi="Arial" w:cs="Arial"/>
          <w:sz w:val="20"/>
          <w:szCs w:val="20"/>
        </w:rPr>
        <w:t>sessanta</w:t>
      </w:r>
      <w:proofErr w:type="gramEnd"/>
      <w:r>
        <w:rPr>
          <w:rFonts w:ascii="Arial" w:hAnsi="Arial" w:cs="Arial"/>
          <w:sz w:val="20"/>
          <w:szCs w:val="20"/>
        </w:rPr>
        <w:t xml:space="preserve"> e settanta in piazza dell’Isolotto a Firenze sono passati preti antifranchisti spagnoli, teologi protestanti tedeschi, esuli filippini e cileni. Attraverso i contatti stabiliti da alcuni membri della comunità, arrivavano lì le lettere dei lavoratori neri delle fabbriche metallurgiche di Detroit insieme alle testimonianze sul Vietnam e sul terremoto del Belice. Queste dinamiche naturalmente non sono limitate all’Isolotto. Gli articoli in questo numero lo dimostrano molto bene. Parlano di fotografie scattate da militanti italiani nelle colonie portoghesi, trattano di attivisti reggiani e romani e antimperialisti senesi colti nel loro sforzo di capire cosa </w:t>
      </w:r>
      <w:proofErr w:type="gramStart"/>
      <w:r>
        <w:rPr>
          <w:rFonts w:ascii="Arial" w:hAnsi="Arial" w:cs="Arial"/>
          <w:sz w:val="20"/>
          <w:szCs w:val="20"/>
        </w:rPr>
        <w:t>succedeva</w:t>
      </w:r>
      <w:proofErr w:type="gramEnd"/>
      <w:r>
        <w:rPr>
          <w:rFonts w:ascii="Arial" w:hAnsi="Arial" w:cs="Arial"/>
          <w:sz w:val="20"/>
          <w:szCs w:val="20"/>
        </w:rPr>
        <w:t xml:space="preserve"> in Cina e in America latina, per poi riportare tutto quanto nei propri territori.</w:t>
      </w:r>
    </w:p>
    <w:p w14:paraId="7134FBCF" w14:textId="77777777" w:rsidR="00FE7B70" w:rsidRDefault="00000000">
      <w:pPr>
        <w:rPr>
          <w:rFonts w:ascii="Arial" w:hAnsi="Arial" w:cs="Arial"/>
          <w:sz w:val="20"/>
          <w:szCs w:val="20"/>
        </w:rPr>
      </w:pPr>
      <w:r>
        <w:rPr>
          <w:rFonts w:ascii="Arial" w:hAnsi="Arial" w:cs="Arial"/>
          <w:sz w:val="20"/>
          <w:szCs w:val="20"/>
        </w:rPr>
        <w:t xml:space="preserve">Gli archivi di questi movimenti sono ricchissimi perché parlano di questo essere parte dei movimenti del mondo e allo stesso tempo dell’essere fortemente radicati nelle comunità militanti di luoghi specifici. Sono pieni di informazioni che sono tanto più significative quanto più ci sorprendono, perché proprio in quei casi ci costringono a mettere da parte le nostre lenti analitiche e fare i conti con le logiche degli attori sociali di allora, illuminando le possibilità che c’erano in quei decenni di “vedere” il mondo e di far parte del processo della sua trasformazione. È a partire da lì, non dai nostri pregiudizi, che possiamo chiederci quali luoghi erano rilevanti per quegli/quelle attivisti e attiviste, e perché e come erano collegati, chi li collegava, quale «contesto pertinente» costruivano quelle reti militanti e in che modo quelle connessioni contribuivano a trasformare i luoghi in cui quei collettivi erano attivi. </w:t>
      </w:r>
      <w:bookmarkStart w:id="0" w:name="OLE_LINK3"/>
      <w:bookmarkStart w:id="1" w:name="OLE_LINK4"/>
      <w:r>
        <w:rPr>
          <w:rFonts w:ascii="Arial" w:hAnsi="Arial" w:cs="Arial"/>
          <w:sz w:val="20"/>
          <w:szCs w:val="20"/>
        </w:rPr>
        <w:t>Senza dimenticare, naturalmente, che questi/e attivisti/e non agivano nel vuoto: erano stimolati dalle azioni di altri movimenti, erano condizionati dall’azione di controllo e repressione esercitata dalle istituzioni (</w:t>
      </w:r>
      <w:bookmarkStart w:id="2" w:name="OLE_LINK1"/>
      <w:bookmarkStart w:id="3" w:name="OLE_LINK2"/>
      <w:r>
        <w:rPr>
          <w:rFonts w:ascii="Arial" w:hAnsi="Arial" w:cs="Arial"/>
          <w:sz w:val="20"/>
          <w:szCs w:val="20"/>
        </w:rPr>
        <w:t>come si vede bene nel contributo di Sofia Bacchini in questo numero</w:t>
      </w:r>
      <w:bookmarkEnd w:id="2"/>
      <w:bookmarkEnd w:id="3"/>
      <w:r>
        <w:rPr>
          <w:rFonts w:ascii="Arial" w:hAnsi="Arial" w:cs="Arial"/>
          <w:sz w:val="20"/>
          <w:szCs w:val="20"/>
        </w:rPr>
        <w:t xml:space="preserve">) ed erano limitati dai propri immaginari e dalle proprie ideologie, </w:t>
      </w:r>
      <w:bookmarkEnd w:id="0"/>
      <w:bookmarkEnd w:id="1"/>
      <w:r>
        <w:rPr>
          <w:rFonts w:ascii="Arial" w:hAnsi="Arial" w:cs="Arial"/>
          <w:sz w:val="20"/>
          <w:szCs w:val="20"/>
        </w:rPr>
        <w:t xml:space="preserve">che in questo senso possono essere indagate in modo nuovo e criticamente. Da questo punto di vista, mi sembra importante che abbiate incluso in questo numero anche il contributo di Caterina </w:t>
      </w:r>
      <w:proofErr w:type="spellStart"/>
      <w:r>
        <w:rPr>
          <w:rFonts w:ascii="Arial" w:hAnsi="Arial" w:cs="Arial"/>
          <w:sz w:val="20"/>
          <w:szCs w:val="20"/>
        </w:rPr>
        <w:t>Prever</w:t>
      </w:r>
      <w:proofErr w:type="spellEnd"/>
      <w:r>
        <w:rPr>
          <w:rFonts w:ascii="Arial" w:hAnsi="Arial" w:cs="Arial"/>
          <w:sz w:val="20"/>
          <w:szCs w:val="20"/>
        </w:rPr>
        <w:t xml:space="preserve"> sulla cellula padovana di Ordine nuovo rispetto alla causa palestinese. È anche questo un modo di produrre quell’effetto di “straniamento” di cui ti dicevo prima, per guardare ai global </w:t>
      </w:r>
      <w:proofErr w:type="spellStart"/>
      <w:r>
        <w:rPr>
          <w:rFonts w:ascii="Arial" w:hAnsi="Arial" w:cs="Arial"/>
          <w:sz w:val="20"/>
          <w:szCs w:val="20"/>
        </w:rPr>
        <w:t>sixties</w:t>
      </w:r>
      <w:proofErr w:type="spellEnd"/>
      <w:r>
        <w:rPr>
          <w:rFonts w:ascii="Arial" w:hAnsi="Arial" w:cs="Arial"/>
          <w:sz w:val="20"/>
          <w:szCs w:val="20"/>
        </w:rPr>
        <w:t xml:space="preserve"> in una prospettiva più complessa, meno abituale e per questo, secondo me, più ricca e interessante.</w:t>
      </w:r>
    </w:p>
    <w:p w14:paraId="18AD34B4" w14:textId="77777777" w:rsidR="00FE7B70" w:rsidRDefault="00FE7B70">
      <w:pPr>
        <w:rPr>
          <w:rFonts w:ascii="Arial" w:hAnsi="Arial" w:cs="Arial"/>
          <w:sz w:val="20"/>
          <w:szCs w:val="20"/>
        </w:rPr>
      </w:pPr>
    </w:p>
    <w:p w14:paraId="47CBA4A6" w14:textId="77777777" w:rsidR="00FE7B70" w:rsidRDefault="00FE7B70">
      <w:pPr>
        <w:rPr>
          <w:rFonts w:ascii="Arial" w:hAnsi="Arial" w:cs="Arial"/>
          <w:bCs/>
          <w:strike/>
          <w:sz w:val="20"/>
          <w:szCs w:val="20"/>
        </w:rPr>
      </w:pPr>
    </w:p>
    <w:p w14:paraId="6A78442D" w14:textId="77777777" w:rsidR="00FE7B70" w:rsidRDefault="00000000">
      <w:pPr>
        <w:rPr>
          <w:rFonts w:ascii="Arial" w:hAnsi="Arial" w:cs="Arial"/>
          <w:sz w:val="20"/>
          <w:szCs w:val="20"/>
        </w:rPr>
      </w:pPr>
      <w:r>
        <w:rPr>
          <w:rFonts w:ascii="Arial" w:hAnsi="Arial" w:cs="Arial"/>
          <w:sz w:val="20"/>
          <w:szCs w:val="20"/>
        </w:rPr>
        <w:t xml:space="preserve">? </w:t>
      </w:r>
      <w:r>
        <w:rPr>
          <w:rFonts w:ascii="Arial" w:hAnsi="Arial" w:cs="Arial"/>
          <w:i/>
          <w:iCs/>
          <w:sz w:val="20"/>
          <w:szCs w:val="20"/>
        </w:rPr>
        <w:t xml:space="preserve">Sei stato uno dei protagonisti del dibattito sul </w:t>
      </w:r>
      <w:r>
        <w:rPr>
          <w:rFonts w:ascii="Arial" w:hAnsi="Arial" w:cs="Arial"/>
          <w:sz w:val="20"/>
          <w:szCs w:val="20"/>
        </w:rPr>
        <w:t>global turn</w:t>
      </w:r>
      <w:r>
        <w:rPr>
          <w:rFonts w:ascii="Arial" w:hAnsi="Arial" w:cs="Arial"/>
          <w:i/>
          <w:iCs/>
          <w:sz w:val="20"/>
          <w:szCs w:val="20"/>
        </w:rPr>
        <w:t>, proponendone una tua declinazione in termini di</w:t>
      </w:r>
      <w:r>
        <w:rPr>
          <w:rFonts w:ascii="Arial" w:hAnsi="Arial" w:cs="Arial"/>
          <w:sz w:val="20"/>
          <w:szCs w:val="20"/>
        </w:rPr>
        <w:t xml:space="preserve"> </w:t>
      </w:r>
      <w:proofErr w:type="spellStart"/>
      <w:r>
        <w:rPr>
          <w:rFonts w:ascii="Arial" w:hAnsi="Arial" w:cs="Arial"/>
          <w:sz w:val="20"/>
          <w:szCs w:val="20"/>
        </w:rPr>
        <w:t>spatial</w:t>
      </w:r>
      <w:proofErr w:type="spellEnd"/>
      <w:r>
        <w:rPr>
          <w:rFonts w:ascii="Arial" w:hAnsi="Arial" w:cs="Arial"/>
          <w:sz w:val="20"/>
          <w:szCs w:val="20"/>
        </w:rPr>
        <w:t xml:space="preserve"> turn. </w:t>
      </w:r>
      <w:r>
        <w:rPr>
          <w:rFonts w:ascii="Arial" w:hAnsi="Arial" w:cs="Arial"/>
          <w:i/>
          <w:iCs/>
          <w:sz w:val="20"/>
          <w:szCs w:val="20"/>
        </w:rPr>
        <w:t>A che punto siamo oggi?</w:t>
      </w:r>
      <w:r>
        <w:rPr>
          <w:rFonts w:ascii="Arial" w:hAnsi="Arial" w:cs="Arial"/>
          <w:sz w:val="20"/>
          <w:szCs w:val="20"/>
        </w:rPr>
        <w:t xml:space="preserve"> World history, global history, global micro-history… </w:t>
      </w:r>
      <w:r>
        <w:rPr>
          <w:rFonts w:ascii="Arial" w:hAnsi="Arial" w:cs="Arial"/>
          <w:i/>
          <w:iCs/>
          <w:sz w:val="20"/>
          <w:szCs w:val="20"/>
        </w:rPr>
        <w:t>Senza farne una battaglia nominalistica, quali sono le tendenze più interessanti di un dibattito che, come testimoniano le definizioni che usiamo in inglese, si è rapidamente internazionalizzato ma che resta nei fatti ancorato al mondo accademico occidentale? Non è anche questo un forte ostacolo per una storia realmente</w:t>
      </w:r>
      <w:r>
        <w:rPr>
          <w:rFonts w:ascii="Arial" w:hAnsi="Arial" w:cs="Arial"/>
          <w:sz w:val="20"/>
          <w:szCs w:val="20"/>
        </w:rPr>
        <w:t xml:space="preserve"> a parti uguali</w:t>
      </w:r>
      <w:r>
        <w:rPr>
          <w:rFonts w:ascii="Arial" w:hAnsi="Arial" w:cs="Arial"/>
          <w:i/>
          <w:iCs/>
          <w:sz w:val="20"/>
          <w:szCs w:val="20"/>
        </w:rPr>
        <w:t>? O non è più così?</w:t>
      </w:r>
    </w:p>
    <w:p w14:paraId="22DC6451" w14:textId="77777777" w:rsidR="00FE7B70" w:rsidRDefault="00FE7B70">
      <w:pPr>
        <w:rPr>
          <w:rFonts w:ascii="Arial" w:hAnsi="Arial" w:cs="Arial"/>
          <w:sz w:val="20"/>
          <w:szCs w:val="20"/>
        </w:rPr>
      </w:pPr>
    </w:p>
    <w:p w14:paraId="7C013577" w14:textId="0CE835F6" w:rsidR="00FE7B70" w:rsidRDefault="00000000">
      <w:pPr>
        <w:rPr>
          <w:rFonts w:ascii="Arial" w:hAnsi="Arial" w:cs="Arial"/>
          <w:sz w:val="20"/>
          <w:szCs w:val="20"/>
        </w:rPr>
      </w:pPr>
      <w:r>
        <w:rPr>
          <w:rFonts w:ascii="Arial" w:hAnsi="Arial" w:cs="Arial"/>
          <w:sz w:val="20"/>
          <w:szCs w:val="20"/>
        </w:rPr>
        <w:t xml:space="preserve">! La cosiddetta world history o global history ormai è un ambito disciplinare enorme, nel quale convivono studi qualitativamente molto diversi e approcci che in alcuni casi sono evidentemente in contraddizione l’uno con l’altro. A mio parere, il problema maggiore della global history oggi è nell’ecumenismo con cui ci si autocompiace nel tessere le lodi della diversità di approcci, rifiutandosi di riconoscere e discutere queste contraddizioni. La linea di frattura – politica e intellettuale – non è tra global e world history, ma attraversa il campo complessivo della global/world history. Da un lato, ci sono correnti </w:t>
      </w:r>
      <w:r>
        <w:rPr>
          <w:rFonts w:ascii="Arial" w:hAnsi="Arial" w:cs="Arial"/>
          <w:iCs/>
          <w:sz w:val="20"/>
          <w:szCs w:val="20"/>
        </w:rPr>
        <w:t>mainstream</w:t>
      </w:r>
      <w:r>
        <w:rPr>
          <w:rFonts w:ascii="Arial" w:hAnsi="Arial" w:cs="Arial"/>
          <w:sz w:val="20"/>
          <w:szCs w:val="20"/>
        </w:rPr>
        <w:t xml:space="preserve"> della global/world history – penso soprattutto a quelle legate alla storia economica (per esempio: </w:t>
      </w:r>
      <w:proofErr w:type="spellStart"/>
      <w:r>
        <w:rPr>
          <w:rFonts w:ascii="Arial" w:hAnsi="Arial" w:cs="Arial"/>
          <w:sz w:val="20"/>
          <w:szCs w:val="20"/>
        </w:rPr>
        <w:t>Pomeranz</w:t>
      </w:r>
      <w:proofErr w:type="spellEnd"/>
      <w:r>
        <w:rPr>
          <w:rFonts w:ascii="Arial" w:hAnsi="Arial" w:cs="Arial"/>
          <w:sz w:val="20"/>
          <w:szCs w:val="20"/>
        </w:rPr>
        <w:t xml:space="preserve"> 20</w:t>
      </w:r>
      <w:r w:rsidR="00836686">
        <w:rPr>
          <w:rFonts w:ascii="Arial" w:hAnsi="Arial" w:cs="Arial"/>
          <w:sz w:val="20"/>
          <w:szCs w:val="20"/>
        </w:rPr>
        <w:t>00</w:t>
      </w:r>
      <w:r>
        <w:rPr>
          <w:rFonts w:ascii="Arial" w:hAnsi="Arial" w:cs="Arial"/>
          <w:sz w:val="20"/>
          <w:szCs w:val="20"/>
        </w:rPr>
        <w:t xml:space="preserve">; </w:t>
      </w:r>
      <w:proofErr w:type="spellStart"/>
      <w:r>
        <w:rPr>
          <w:rFonts w:ascii="Arial" w:hAnsi="Arial" w:cs="Arial"/>
          <w:sz w:val="20"/>
          <w:szCs w:val="20"/>
        </w:rPr>
        <w:t>Vrees</w:t>
      </w:r>
      <w:proofErr w:type="spellEnd"/>
      <w:r>
        <w:rPr>
          <w:rFonts w:ascii="Arial" w:hAnsi="Arial" w:cs="Arial"/>
          <w:sz w:val="20"/>
          <w:szCs w:val="20"/>
        </w:rPr>
        <w:t xml:space="preserve"> 2015) e alle visioni dominanti negli studi sulle relazioni internazionali (per punti di vista critici in quel campo vedi però: Jones 2006; </w:t>
      </w:r>
      <w:proofErr w:type="spellStart"/>
      <w:r>
        <w:rPr>
          <w:rFonts w:ascii="Arial" w:hAnsi="Arial" w:cs="Arial"/>
          <w:sz w:val="20"/>
          <w:szCs w:val="20"/>
        </w:rPr>
        <w:t>Nayak</w:t>
      </w:r>
      <w:proofErr w:type="spellEnd"/>
      <w:r>
        <w:rPr>
          <w:rFonts w:ascii="Arial" w:hAnsi="Arial" w:cs="Arial"/>
          <w:sz w:val="20"/>
          <w:szCs w:val="20"/>
        </w:rPr>
        <w:t xml:space="preserve">, </w:t>
      </w:r>
      <w:proofErr w:type="spellStart"/>
      <w:r>
        <w:rPr>
          <w:rFonts w:ascii="Arial" w:hAnsi="Arial" w:cs="Arial"/>
          <w:sz w:val="20"/>
          <w:szCs w:val="20"/>
        </w:rPr>
        <w:t>Selbin</w:t>
      </w:r>
      <w:proofErr w:type="spellEnd"/>
      <w:r>
        <w:rPr>
          <w:rFonts w:ascii="Arial" w:hAnsi="Arial" w:cs="Arial"/>
          <w:sz w:val="20"/>
          <w:szCs w:val="20"/>
        </w:rPr>
        <w:t xml:space="preserve"> 2010; Darby 2016) – che hanno paradossalmente reintrodotto una visione profondamente eurocentrica, top-down e deterministica della storia, che rischia di supportare le narrazioni dominanti sulla globalizzazione capitalistica. Dall’altro, esistono nella global/world history orientamenti più processuali e più sensibili alla «svolta spaziale» che non solo condividono implicitamente o esplicitamente molti principi della storia sociale, ma possono spingere quest’ultima a uscire dalla sua crisi attuale e potrebbero anche suggerire letture politiche più complesse di fenomeni come la globalizzazione stessa, le migrazioni, la precarietà del lavoro, la crisi climatica etc.</w:t>
      </w:r>
    </w:p>
    <w:p w14:paraId="556CFF5B" w14:textId="77777777" w:rsidR="00FE7B70" w:rsidRDefault="00000000">
      <w:pPr>
        <w:rPr>
          <w:rFonts w:ascii="Arial" w:hAnsi="Arial" w:cs="Arial"/>
          <w:sz w:val="20"/>
          <w:szCs w:val="20"/>
        </w:rPr>
      </w:pPr>
      <w:r>
        <w:rPr>
          <w:rFonts w:ascii="Arial" w:hAnsi="Arial" w:cs="Arial"/>
          <w:sz w:val="20"/>
          <w:szCs w:val="20"/>
        </w:rPr>
        <w:t>In questo senso, la conversazione sulla possibile coniugazione della global history con la microstoria mi sembra oggi il terreno più interessante, perché indica perlomeno una volontà nei suoi partecipanti di riconoscere la problematicità della global history di taglio macro-analitico. Per esperienza personale (ho partecipato ad alcuni incontri e relative pubblicazioni) posso però testimoniare che questa conversazione è molto difficile. Perché attorno al tavolo a discutere della combinazione tra global history e microstoria si siedono ricercatori e ricercatrici che hanno idee profondamente diverse della global history, della microstoria e del loro eventuale incontro. Per esempio, se si assume come base la microstoria italiana o quella nordamericana o francese già si parte da concezioni profondamente diverse. Quale microstoria si combina con quale global history?</w:t>
      </w:r>
    </w:p>
    <w:p w14:paraId="518D19E7" w14:textId="77777777" w:rsidR="00FE7B70" w:rsidRDefault="00000000">
      <w:pPr>
        <w:rPr>
          <w:rFonts w:ascii="Arial" w:hAnsi="Arial" w:cs="Arial"/>
          <w:sz w:val="20"/>
          <w:szCs w:val="20"/>
        </w:rPr>
      </w:pPr>
      <w:r>
        <w:rPr>
          <w:rFonts w:ascii="Arial" w:hAnsi="Arial" w:cs="Arial"/>
          <w:sz w:val="20"/>
          <w:szCs w:val="20"/>
        </w:rPr>
        <w:t xml:space="preserve">Per questo, nel proporre la prospettiva micro-spaziale, l’ho fondata esplicitamente sull’incontro tra la microstoria italiana e l’approccio spaziale di una parte della global history. Per me questa è la base di una riflessione sulla possibilità di rilanciare (o rifondare?) il progetto di una storia sociale ampia, processuale, che faccia propria fino in fondo la critica dell’eurocentrismo e del nazionalismo metodologico e si impadronisca delle prospettive aperte dallo </w:t>
      </w:r>
      <w:proofErr w:type="spellStart"/>
      <w:r>
        <w:rPr>
          <w:rFonts w:ascii="Arial" w:hAnsi="Arial" w:cs="Arial"/>
          <w:i/>
          <w:iCs/>
          <w:sz w:val="20"/>
          <w:szCs w:val="20"/>
        </w:rPr>
        <w:t>spatial</w:t>
      </w:r>
      <w:proofErr w:type="spellEnd"/>
      <w:r>
        <w:rPr>
          <w:rFonts w:ascii="Arial" w:hAnsi="Arial" w:cs="Arial"/>
          <w:i/>
          <w:iCs/>
          <w:sz w:val="20"/>
          <w:szCs w:val="20"/>
        </w:rPr>
        <w:t xml:space="preserve"> turn</w:t>
      </w:r>
      <w:r>
        <w:rPr>
          <w:rFonts w:ascii="Arial" w:hAnsi="Arial" w:cs="Arial"/>
          <w:sz w:val="20"/>
          <w:szCs w:val="20"/>
        </w:rPr>
        <w:t xml:space="preserve">. L’obiettivo è comprendere i fenomeni storico-sociali come </w:t>
      </w:r>
      <w:r>
        <w:rPr>
          <w:rFonts w:ascii="Arial" w:hAnsi="Arial" w:cs="Arial"/>
          <w:sz w:val="20"/>
          <w:szCs w:val="20"/>
        </w:rPr>
        <w:lastRenderedPageBreak/>
        <w:t xml:space="preserve">configurazioni complesse: visualizzare la molteplicità delle pratiche e dei processi sociali – facendone quasi una cartografia, o una «morfologia», come diceva Edoardo </w:t>
      </w:r>
      <w:proofErr w:type="spellStart"/>
      <w:r>
        <w:rPr>
          <w:rFonts w:ascii="Arial" w:hAnsi="Arial" w:cs="Arial"/>
          <w:sz w:val="20"/>
          <w:szCs w:val="20"/>
        </w:rPr>
        <w:t>Grendi</w:t>
      </w:r>
      <w:proofErr w:type="spellEnd"/>
      <w:r>
        <w:rPr>
          <w:rFonts w:ascii="Arial" w:hAnsi="Arial" w:cs="Arial"/>
          <w:sz w:val="20"/>
          <w:szCs w:val="20"/>
        </w:rPr>
        <w:t xml:space="preserve"> (Torre 2004) – e allo stesso tempo interpretare le logiche di selezione e categorizzazione che definiscono i rapporti tra parti di quelle pratiche e di quei processi, tra individui, gruppi sociali e territori. È un modo di riconoscere e valorizzare la pluralità senza scivolare nell’esaltazione fine a sé stessa della frammentazione; un modo di decostruire le categorie ricevute, per poi provare a ricostruire in modo dialettico la complessità sociale del passato e del presente.</w:t>
      </w:r>
    </w:p>
    <w:p w14:paraId="2D279693" w14:textId="77777777" w:rsidR="00FE7B70" w:rsidRDefault="00FE7B70">
      <w:pPr>
        <w:rPr>
          <w:rFonts w:ascii="Arial" w:hAnsi="Arial" w:cs="Arial"/>
          <w:sz w:val="20"/>
          <w:szCs w:val="20"/>
        </w:rPr>
      </w:pPr>
    </w:p>
    <w:p w14:paraId="62C84F34" w14:textId="77777777" w:rsidR="00FE7B70" w:rsidRDefault="00FE7B70">
      <w:pPr>
        <w:rPr>
          <w:rFonts w:ascii="Arial" w:hAnsi="Arial" w:cs="Arial"/>
          <w:sz w:val="20"/>
          <w:szCs w:val="20"/>
        </w:rPr>
      </w:pPr>
    </w:p>
    <w:p w14:paraId="39937ADF" w14:textId="77777777" w:rsidR="00FE7B70" w:rsidRDefault="00FE7B70">
      <w:pPr>
        <w:rPr>
          <w:rFonts w:ascii="Arial" w:hAnsi="Arial" w:cs="Arial"/>
          <w:bCs/>
          <w:sz w:val="20"/>
          <w:szCs w:val="20"/>
        </w:rPr>
      </w:pPr>
    </w:p>
    <w:sectPr w:rsidR="00FE7B70">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Georgia">
    <w:panose1 w:val="02040502050405020303"/>
    <w:charset w:val="00"/>
    <w:family w:val="roman"/>
    <w:pitch w:val="variable"/>
    <w:sig w:usb0="00000287" w:usb1="00000000" w:usb2="00000000" w:usb3="00000000" w:csb0="0000009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4D"/>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1"/>
    <w:family w:val="roman"/>
    <w:pitch w:val="default"/>
  </w:font>
  <w:font w:name="Microsoft YaHei">
    <w:panose1 w:val="020B0503020204020204"/>
    <w:charset w:val="86"/>
    <w:family w:val="swiss"/>
    <w:pitch w:val="variable"/>
    <w:sig w:usb0="80000287" w:usb1="2ACF3C52" w:usb2="00000016" w:usb3="00000000" w:csb0="0004001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6"/>
  <w:proofState w:spelling="clean" w:grammar="clean"/>
  <w:defaultTabStop w:val="709"/>
  <w:autoHyphenation/>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B70"/>
    <w:rsid w:val="00335A31"/>
    <w:rsid w:val="00836686"/>
    <w:rsid w:val="00DB3C6C"/>
    <w:rsid w:val="00FE7B7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3087F95A"/>
  <w15:docId w15:val="{D2951FB9-99AD-F047-86DC-29925C762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Georgia" w:eastAsia="NSimSun" w:hAnsi="Georgia" w:cs="Lucida Sans"/>
        <w:kern w:val="2"/>
        <w:sz w:val="24"/>
        <w:szCs w:val="24"/>
        <w:lang w:val="it-IT"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olo">
    <w:name w:val="Titolo"/>
    <w:basedOn w:val="Normal"/>
    <w:next w:val="BodyText"/>
    <w:qFormat/>
    <w:pPr>
      <w:keepNext/>
      <w:spacing w:before="240" w:after="120"/>
    </w:pPr>
    <w:rPr>
      <w:rFonts w:ascii="Liberation Sans" w:eastAsia="Microsoft YaHei"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ice">
    <w:name w:val="Indice"/>
    <w:basedOn w:val="Normal"/>
    <w:qFormat/>
    <w:pPr>
      <w:suppressLineNumbers/>
    </w:pPr>
    <w:rPr>
      <w:lang/>
    </w:rPr>
  </w:style>
  <w:style w:type="paragraph" w:styleId="ListParagraph">
    <w:name w:val="List Paragraph"/>
    <w:basedOn w:val="Normal"/>
    <w:qFormat/>
    <w:pPr>
      <w:ind w:left="720"/>
      <w:contextualSpacing/>
    </w:pPr>
  </w:style>
  <w:style w:type="paragraph" w:styleId="Title">
    <w:name w:val="Title"/>
    <w:basedOn w:val="Titolo"/>
    <w:next w:val="BodyText"/>
    <w:uiPriority w:val="10"/>
    <w:qFormat/>
    <w:pPr>
      <w:jc w:val="center"/>
    </w:pPr>
    <w:rPr>
      <w:b/>
      <w:bCs/>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5139</Words>
  <Characters>30839</Characters>
  <Application>Microsoft Office Word</Application>
  <DocSecurity>0</DocSecurity>
  <Lines>489</Lines>
  <Paragraphs>102</Paragraphs>
  <ScaleCrop>false</ScaleCrop>
  <Company/>
  <LinksUpToDate>false</LinksUpToDate>
  <CharactersWithSpaces>35876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dc:description/>
  <cp:lastModifiedBy>...</cp:lastModifiedBy>
  <cp:revision>3</cp:revision>
  <dcterms:created xsi:type="dcterms:W3CDTF">2024-11-11T13:52:00Z</dcterms:created>
  <dcterms:modified xsi:type="dcterms:W3CDTF">2024-11-11T13:52:00Z</dcterms:modified>
  <dc:language>it-IT</dc:language>
</cp:coreProperties>
</file>