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E00CDA" w14:textId="36D096A7" w:rsidR="007D2FBB" w:rsidRPr="007D2FBB" w:rsidRDefault="007D2FBB" w:rsidP="006D4E63">
      <w:pPr>
        <w:pStyle w:val="p1"/>
        <w:rPr>
          <w:rFonts w:ascii="Avenir Book" w:hAnsi="Avenir Book"/>
          <w:b/>
          <w:bCs/>
          <w:sz w:val="24"/>
          <w:szCs w:val="24"/>
        </w:rPr>
      </w:pPr>
      <w:r w:rsidRPr="007D2FBB">
        <w:rPr>
          <w:rFonts w:ascii="Avenir Book" w:hAnsi="Avenir Book"/>
          <w:b/>
          <w:bCs/>
          <w:sz w:val="24"/>
          <w:szCs w:val="24"/>
        </w:rPr>
        <w:t>Monuments decolonized: Algeria’s French colonial heritage</w:t>
      </w:r>
      <w:r w:rsidRPr="007D2FBB">
        <w:rPr>
          <w:rStyle w:val="s1"/>
          <w:rFonts w:ascii="Avenir Book" w:hAnsi="Avenir Book"/>
          <w:b/>
          <w:bCs/>
          <w:sz w:val="24"/>
          <w:szCs w:val="24"/>
        </w:rPr>
        <w:t>, by Susan</w:t>
      </w:r>
      <w:r w:rsidR="006D4E63">
        <w:rPr>
          <w:rStyle w:val="s1"/>
          <w:rFonts w:ascii="Avenir Book" w:hAnsi="Avenir Book"/>
          <w:b/>
          <w:bCs/>
          <w:sz w:val="24"/>
          <w:szCs w:val="24"/>
        </w:rPr>
        <w:t xml:space="preserve"> </w:t>
      </w:r>
      <w:r w:rsidRPr="007D2FBB">
        <w:rPr>
          <w:rFonts w:ascii="Avenir Book" w:hAnsi="Avenir Book"/>
          <w:b/>
          <w:bCs/>
          <w:sz w:val="24"/>
          <w:szCs w:val="24"/>
        </w:rPr>
        <w:t>Slyomovics, Stanford, Stanford University Press, 2024, xx + 310 pp., $35</w:t>
      </w:r>
      <w:r w:rsidR="006D4E63">
        <w:rPr>
          <w:rFonts w:ascii="Avenir Book" w:hAnsi="Avenir Book"/>
          <w:b/>
          <w:bCs/>
          <w:sz w:val="24"/>
          <w:szCs w:val="24"/>
        </w:rPr>
        <w:t xml:space="preserve"> </w:t>
      </w:r>
      <w:r w:rsidRPr="007D2FBB">
        <w:rPr>
          <w:rFonts w:ascii="Avenir Book" w:hAnsi="Avenir Book"/>
          <w:b/>
          <w:bCs/>
          <w:sz w:val="24"/>
          <w:szCs w:val="24"/>
        </w:rPr>
        <w:t>(softcover), ISBN 978-1-5036-3948-5</w:t>
      </w:r>
    </w:p>
    <w:p w14:paraId="1A4BBF09" w14:textId="77777777" w:rsidR="007D2FBB" w:rsidRPr="007D2FBB" w:rsidRDefault="007D2FBB" w:rsidP="007D2FBB">
      <w:pPr>
        <w:pStyle w:val="p2"/>
        <w:rPr>
          <w:rFonts w:ascii="Avenir Book" w:hAnsi="Avenir Book"/>
          <w:sz w:val="24"/>
          <w:szCs w:val="24"/>
        </w:rPr>
      </w:pPr>
    </w:p>
    <w:p w14:paraId="33BAD05C" w14:textId="15CC0B02" w:rsidR="007D2FBB" w:rsidRPr="006D4E63" w:rsidRDefault="007D2FBB" w:rsidP="006D4E63">
      <w:pPr>
        <w:pStyle w:val="p3"/>
        <w:spacing w:after="80"/>
        <w:ind w:firstLine="284"/>
        <w:rPr>
          <w:rFonts w:ascii="Avenir Book" w:hAnsi="Avenir Book"/>
          <w:sz w:val="24"/>
          <w:szCs w:val="24"/>
        </w:rPr>
      </w:pPr>
      <w:r w:rsidRPr="006D4E63">
        <w:rPr>
          <w:rFonts w:ascii="Avenir Book" w:hAnsi="Avenir Book"/>
          <w:sz w:val="24"/>
          <w:szCs w:val="24"/>
        </w:rPr>
        <w:t>Reading the book under review leaves one with a profound sense of</w:t>
      </w:r>
      <w:r w:rsidR="006D4E63">
        <w:rPr>
          <w:rFonts w:ascii="Avenir Book" w:hAnsi="Avenir Book"/>
          <w:sz w:val="24"/>
          <w:szCs w:val="24"/>
        </w:rPr>
        <w:t xml:space="preserve"> </w:t>
      </w:r>
      <w:r w:rsidRPr="006D4E63">
        <w:rPr>
          <w:rFonts w:ascii="Avenir Book" w:hAnsi="Avenir Book"/>
          <w:sz w:val="24"/>
          <w:szCs w:val="24"/>
        </w:rPr>
        <w:t>challengeand stimulation. The breadth and depth of the author’s knowledge is such that</w:t>
      </w:r>
      <w:r w:rsidR="006D4E63">
        <w:rPr>
          <w:rFonts w:ascii="Avenir Book" w:hAnsi="Avenir Book"/>
          <w:sz w:val="24"/>
          <w:szCs w:val="24"/>
        </w:rPr>
        <w:t xml:space="preserve"> </w:t>
      </w:r>
      <w:r w:rsidRPr="006D4E63">
        <w:rPr>
          <w:rFonts w:ascii="Avenir Book" w:hAnsi="Avenir Book"/>
          <w:sz w:val="24"/>
          <w:szCs w:val="24"/>
        </w:rPr>
        <w:t>the reviewer who wishes to do it justice in just a few pages faces a daunting</w:t>
      </w:r>
      <w:r w:rsidR="006D4E63">
        <w:rPr>
          <w:rFonts w:ascii="Avenir Book" w:hAnsi="Avenir Book"/>
          <w:sz w:val="24"/>
          <w:szCs w:val="24"/>
        </w:rPr>
        <w:t xml:space="preserve"> </w:t>
      </w:r>
      <w:r w:rsidRPr="006D4E63">
        <w:rPr>
          <w:rFonts w:ascii="Avenir Book" w:hAnsi="Avenir Book"/>
          <w:sz w:val="24"/>
          <w:szCs w:val="24"/>
        </w:rPr>
        <w:t>task. Yet this is precisely the kind of work that this reviewer, for one, always</w:t>
      </w:r>
      <w:r w:rsidR="006D4E63">
        <w:rPr>
          <w:rFonts w:ascii="Avenir Book" w:hAnsi="Avenir Book"/>
          <w:sz w:val="24"/>
          <w:szCs w:val="24"/>
        </w:rPr>
        <w:t xml:space="preserve"> </w:t>
      </w:r>
      <w:r w:rsidRPr="006D4E63">
        <w:rPr>
          <w:rFonts w:ascii="Avenir Book" w:hAnsi="Avenir Book"/>
          <w:sz w:val="24"/>
          <w:szCs w:val="24"/>
        </w:rPr>
        <w:t>hopes to encounter.</w:t>
      </w:r>
    </w:p>
    <w:p w14:paraId="088C34D7" w14:textId="61FECCAB" w:rsidR="007D2FBB" w:rsidRPr="006D4E63" w:rsidRDefault="007D2FBB" w:rsidP="006D4E63">
      <w:pPr>
        <w:pStyle w:val="p3"/>
        <w:spacing w:after="80"/>
        <w:ind w:firstLine="284"/>
        <w:rPr>
          <w:rFonts w:ascii="Avenir Book" w:hAnsi="Avenir Book"/>
          <w:sz w:val="24"/>
          <w:szCs w:val="24"/>
        </w:rPr>
      </w:pPr>
      <w:r w:rsidRPr="006D4E63">
        <w:rPr>
          <w:rFonts w:ascii="Avenir Book" w:hAnsi="Avenir Book"/>
          <w:sz w:val="24"/>
          <w:szCs w:val="24"/>
        </w:rPr>
        <w:t>In her work Susan Slyomovics offers the fruit of decades of intellectual engagement,</w:t>
      </w:r>
      <w:r w:rsidRPr="006D4E63">
        <w:rPr>
          <w:rFonts w:ascii="Avenir Book" w:hAnsi="Avenir Book"/>
          <w:sz w:val="24"/>
          <w:szCs w:val="24"/>
        </w:rPr>
        <w:t xml:space="preserve"> </w:t>
      </w:r>
      <w:r w:rsidRPr="006D4E63">
        <w:rPr>
          <w:rFonts w:ascii="Avenir Book" w:hAnsi="Avenir Book"/>
          <w:sz w:val="24"/>
          <w:szCs w:val="24"/>
        </w:rPr>
        <w:t>indeed a ‘hand-to-hand’ grappling, with both Algeria and France: an exceptionally</w:t>
      </w:r>
      <w:r w:rsidRPr="006D4E63">
        <w:rPr>
          <w:rFonts w:ascii="Avenir Book" w:hAnsi="Avenir Book"/>
          <w:sz w:val="24"/>
          <w:szCs w:val="24"/>
        </w:rPr>
        <w:t xml:space="preserve"> </w:t>
      </w:r>
      <w:r w:rsidRPr="006D4E63">
        <w:rPr>
          <w:rFonts w:ascii="Avenir Book" w:hAnsi="Avenir Book"/>
          <w:sz w:val="24"/>
          <w:szCs w:val="24"/>
        </w:rPr>
        <w:t>accomplished ethnography, at once intimate and rigorously scholarly,</w:t>
      </w:r>
      <w:r w:rsidRPr="006D4E63">
        <w:rPr>
          <w:rFonts w:ascii="Avenir Book" w:hAnsi="Avenir Book"/>
          <w:sz w:val="24"/>
          <w:szCs w:val="24"/>
        </w:rPr>
        <w:t xml:space="preserve"> </w:t>
      </w:r>
      <w:r w:rsidRPr="006D4E63">
        <w:rPr>
          <w:rFonts w:ascii="Avenir Book" w:hAnsi="Avenir Book"/>
          <w:sz w:val="24"/>
          <w:szCs w:val="24"/>
        </w:rPr>
        <w:t>capable of weaving together complex and never banal theoretical and methodological</w:t>
      </w:r>
      <w:r w:rsidRPr="006D4E63">
        <w:rPr>
          <w:rFonts w:ascii="Avenir Book" w:hAnsi="Avenir Book"/>
          <w:sz w:val="24"/>
          <w:szCs w:val="24"/>
        </w:rPr>
        <w:t xml:space="preserve"> </w:t>
      </w:r>
      <w:r w:rsidRPr="006D4E63">
        <w:rPr>
          <w:rFonts w:ascii="Avenir Book" w:hAnsi="Avenir Book"/>
          <w:sz w:val="24"/>
          <w:szCs w:val="24"/>
        </w:rPr>
        <w:t>reflections with a situated, grounded knowledge of its object of inquiry.</w:t>
      </w:r>
    </w:p>
    <w:p w14:paraId="229D78D8" w14:textId="4B278D25" w:rsidR="007D2FBB" w:rsidRPr="006D4E63" w:rsidRDefault="007D2FBB" w:rsidP="006D4E63">
      <w:pPr>
        <w:pStyle w:val="p3"/>
        <w:spacing w:after="80"/>
        <w:ind w:firstLine="284"/>
        <w:rPr>
          <w:rFonts w:ascii="Avenir Book" w:hAnsi="Avenir Book"/>
          <w:sz w:val="24"/>
          <w:szCs w:val="24"/>
        </w:rPr>
      </w:pPr>
      <w:r w:rsidRPr="006D4E63">
        <w:rPr>
          <w:rFonts w:ascii="Avenir Book" w:hAnsi="Avenir Book"/>
          <w:sz w:val="24"/>
          <w:szCs w:val="24"/>
        </w:rPr>
        <w:t>Nor is it easy to assign this work a single disciplinary home, for it draws with intelligence</w:t>
      </w:r>
      <w:r w:rsidRPr="006D4E63">
        <w:rPr>
          <w:rFonts w:ascii="Avenir Book" w:hAnsi="Avenir Book"/>
          <w:sz w:val="24"/>
          <w:szCs w:val="24"/>
        </w:rPr>
        <w:t xml:space="preserve"> </w:t>
      </w:r>
      <w:r w:rsidRPr="006D4E63">
        <w:rPr>
          <w:rFonts w:ascii="Avenir Book" w:hAnsi="Avenir Book"/>
          <w:sz w:val="24"/>
          <w:szCs w:val="24"/>
        </w:rPr>
        <w:t>and freedom upon a wide array of approaches: most obviously anthropology</w:t>
      </w:r>
      <w:r w:rsidRPr="006D4E63">
        <w:rPr>
          <w:rFonts w:ascii="Avenir Book" w:hAnsi="Avenir Book"/>
          <w:sz w:val="24"/>
          <w:szCs w:val="24"/>
        </w:rPr>
        <w:t xml:space="preserve"> </w:t>
      </w:r>
      <w:r w:rsidRPr="006D4E63">
        <w:rPr>
          <w:rFonts w:ascii="Avenir Book" w:hAnsi="Avenir Book"/>
          <w:sz w:val="24"/>
          <w:szCs w:val="24"/>
        </w:rPr>
        <w:t>(which Slyomovics teaches at UCLA), but also history (of colonialism and</w:t>
      </w:r>
      <w:r w:rsidRPr="006D4E63">
        <w:rPr>
          <w:rFonts w:ascii="Avenir Book" w:hAnsi="Avenir Book"/>
          <w:sz w:val="24"/>
          <w:szCs w:val="24"/>
        </w:rPr>
        <w:t xml:space="preserve"> </w:t>
      </w:r>
      <w:r w:rsidRPr="006D4E63">
        <w:rPr>
          <w:rFonts w:ascii="Avenir Book" w:hAnsi="Avenir Book"/>
          <w:sz w:val="24"/>
          <w:szCs w:val="24"/>
        </w:rPr>
        <w:t>independences), settler colonial studies, war studies and memory studies,</w:t>
      </w:r>
      <w:r w:rsidR="006D4E63">
        <w:rPr>
          <w:rFonts w:ascii="Avenir Book" w:hAnsi="Avenir Book"/>
          <w:sz w:val="24"/>
          <w:szCs w:val="24"/>
        </w:rPr>
        <w:t xml:space="preserve"> </w:t>
      </w:r>
      <w:r w:rsidRPr="006D4E63">
        <w:rPr>
          <w:rFonts w:ascii="Avenir Book" w:hAnsi="Avenir Book"/>
          <w:sz w:val="24"/>
          <w:szCs w:val="24"/>
        </w:rPr>
        <w:t>urban studies, art theory and the social history of art, as well as oral history</w:t>
      </w:r>
      <w:r w:rsidR="006D4E63">
        <w:rPr>
          <w:rFonts w:ascii="Avenir Book" w:hAnsi="Avenir Book"/>
          <w:sz w:val="24"/>
          <w:szCs w:val="24"/>
        </w:rPr>
        <w:t xml:space="preserve"> </w:t>
      </w:r>
      <w:r w:rsidRPr="006D4E63">
        <w:rPr>
          <w:rFonts w:ascii="Avenir Book" w:hAnsi="Avenir Book"/>
          <w:sz w:val="24"/>
          <w:szCs w:val="24"/>
        </w:rPr>
        <w:t>and global history.</w:t>
      </w:r>
    </w:p>
    <w:p w14:paraId="6FADA9C8" w14:textId="6A5F9981" w:rsidR="0039666A" w:rsidRPr="006D4E63" w:rsidRDefault="0039666A" w:rsidP="006D4E63">
      <w:pPr>
        <w:pStyle w:val="NormalWeb"/>
        <w:spacing w:before="0" w:beforeAutospacing="0" w:after="80" w:afterAutospacing="0"/>
        <w:ind w:firstLine="284"/>
        <w:rPr>
          <w:rFonts w:ascii="Avenir Book" w:hAnsi="Avenir Book"/>
        </w:rPr>
      </w:pPr>
      <w:r w:rsidRPr="006D4E63">
        <w:rPr>
          <w:rFonts w:ascii="Avenir Book" w:hAnsi="Avenir Book"/>
        </w:rPr>
        <w:t xml:space="preserve">As Slyomovics writes in the dense introduction to her book: </w:t>
      </w:r>
      <w:r w:rsidRPr="006D4E63">
        <w:rPr>
          <w:rStyle w:val="Emphasis"/>
          <w:rFonts w:ascii="Avenir Book" w:eastAsiaTheme="majorEastAsia" w:hAnsi="Avenir Book"/>
        </w:rPr>
        <w:t>‘</w:t>
      </w:r>
      <w:r w:rsidRPr="006D4E63">
        <w:rPr>
          <w:rStyle w:val="Emphasis"/>
          <w:rFonts w:ascii="Avenir Book" w:eastAsiaTheme="majorEastAsia" w:hAnsi="Avenir Book"/>
          <w:i w:val="0"/>
          <w:iCs w:val="0"/>
        </w:rPr>
        <w:t>I wanted to analyze French colonialism and its aftermaths in France and Algeria through war memorials, the “monuments after all” that survive in both countries. They are the many visible aspects of French colonialism, and since 1962, when Algeria won its independence from France, are among colonial artifacts in France as well</w:t>
      </w:r>
      <w:r w:rsidR="00254197" w:rsidRPr="006D4E63">
        <w:rPr>
          <w:rStyle w:val="Emphasis"/>
          <w:rFonts w:ascii="Avenir Book" w:eastAsiaTheme="majorEastAsia" w:hAnsi="Avenir Book"/>
        </w:rPr>
        <w:t>’</w:t>
      </w:r>
      <w:r w:rsidRPr="006D4E63">
        <w:rPr>
          <w:rFonts w:ascii="Avenir Book" w:hAnsi="Avenir Book"/>
        </w:rPr>
        <w:t xml:space="preserve"> (p. 2).</w:t>
      </w:r>
      <w:r w:rsidR="00254197" w:rsidRPr="006D4E63">
        <w:rPr>
          <w:rFonts w:ascii="Avenir Book" w:hAnsi="Avenir Book"/>
        </w:rPr>
        <w:t xml:space="preserve"> </w:t>
      </w:r>
      <w:r w:rsidRPr="006D4E63">
        <w:rPr>
          <w:rFonts w:ascii="Avenir Book" w:hAnsi="Avenir Book"/>
        </w:rPr>
        <w:t xml:space="preserve">As discerning readers will have immediately recognized, the phrase </w:t>
      </w:r>
      <w:r w:rsidR="00254197" w:rsidRPr="006D4E63">
        <w:rPr>
          <w:rStyle w:val="Emphasis"/>
          <w:rFonts w:ascii="Avenir Book" w:eastAsiaTheme="majorEastAsia" w:hAnsi="Avenir Book"/>
        </w:rPr>
        <w:t>‘</w:t>
      </w:r>
      <w:r w:rsidRPr="006D4E63">
        <w:rPr>
          <w:rStyle w:val="Emphasis"/>
          <w:rFonts w:ascii="Avenir Book" w:eastAsiaTheme="majorEastAsia" w:hAnsi="Avenir Book"/>
        </w:rPr>
        <w:t>monuments after all</w:t>
      </w:r>
      <w:r w:rsidR="00254197" w:rsidRPr="006D4E63">
        <w:rPr>
          <w:rStyle w:val="Emphasis"/>
          <w:rFonts w:ascii="Avenir Book" w:eastAsiaTheme="majorEastAsia" w:hAnsi="Avenir Book"/>
        </w:rPr>
        <w:t>’</w:t>
      </w:r>
      <w:r w:rsidRPr="006D4E63">
        <w:rPr>
          <w:rFonts w:ascii="Avenir Book" w:hAnsi="Avenir Book"/>
        </w:rPr>
        <w:t xml:space="preserve"> is borrowed from Georges Didi-Huberman and his </w:t>
      </w:r>
      <w:r w:rsidRPr="006D4E63">
        <w:rPr>
          <w:rStyle w:val="Emphasis"/>
          <w:rFonts w:ascii="Avenir Book" w:eastAsiaTheme="majorEastAsia" w:hAnsi="Avenir Book"/>
        </w:rPr>
        <w:t>Images malgré tout</w:t>
      </w:r>
      <w:r w:rsidRPr="006D4E63">
        <w:rPr>
          <w:rFonts w:ascii="Avenir Book" w:hAnsi="Avenir Book"/>
        </w:rPr>
        <w:t xml:space="preserve"> (2003). In that volume, Didi-Huberman describes the notion of </w:t>
      </w:r>
      <w:r w:rsidRPr="006D4E63">
        <w:rPr>
          <w:rStyle w:val="Emphasis"/>
          <w:rFonts w:ascii="Avenir Book" w:eastAsiaTheme="majorEastAsia" w:hAnsi="Avenir Book"/>
        </w:rPr>
        <w:t>survivance</w:t>
      </w:r>
      <w:r w:rsidRPr="006D4E63">
        <w:rPr>
          <w:rFonts w:ascii="Avenir Book" w:hAnsi="Avenir Book"/>
        </w:rPr>
        <w:t xml:space="preserve"> as both </w:t>
      </w:r>
      <w:r w:rsidR="00254197" w:rsidRPr="006D4E63">
        <w:rPr>
          <w:rStyle w:val="Emphasis"/>
          <w:rFonts w:ascii="Avenir Book" w:eastAsiaTheme="majorEastAsia" w:hAnsi="Avenir Book"/>
        </w:rPr>
        <w:t>‘</w:t>
      </w:r>
      <w:r w:rsidRPr="006D4E63">
        <w:rPr>
          <w:rStyle w:val="Emphasis"/>
          <w:rFonts w:ascii="Avenir Book" w:eastAsiaTheme="majorEastAsia" w:hAnsi="Avenir Book"/>
          <w:i w:val="0"/>
          <w:iCs w:val="0"/>
        </w:rPr>
        <w:t>the indestructibility of a trace of time within the present life</w:t>
      </w:r>
      <w:r w:rsidR="00254197" w:rsidRPr="006D4E63">
        <w:rPr>
          <w:rStyle w:val="Emphasis"/>
          <w:rFonts w:ascii="Avenir Book" w:eastAsiaTheme="majorEastAsia" w:hAnsi="Avenir Book"/>
          <w:i w:val="0"/>
          <w:iCs w:val="0"/>
        </w:rPr>
        <w:t>’</w:t>
      </w:r>
      <w:r w:rsidRPr="006D4E63">
        <w:rPr>
          <w:rFonts w:ascii="Avenir Book" w:hAnsi="Avenir Book"/>
        </w:rPr>
        <w:t xml:space="preserve"> and, at the same time, as a </w:t>
      </w:r>
      <w:r w:rsidR="00254197" w:rsidRPr="006D4E63">
        <w:rPr>
          <w:rStyle w:val="Emphasis"/>
          <w:rFonts w:ascii="Avenir Book" w:eastAsiaTheme="majorEastAsia" w:hAnsi="Avenir Book"/>
          <w:i w:val="0"/>
          <w:iCs w:val="0"/>
        </w:rPr>
        <w:t>‘</w:t>
      </w:r>
      <w:r w:rsidRPr="006D4E63">
        <w:rPr>
          <w:rStyle w:val="Emphasis"/>
          <w:rFonts w:ascii="Avenir Book" w:eastAsiaTheme="majorEastAsia" w:hAnsi="Avenir Book"/>
          <w:i w:val="0"/>
          <w:iCs w:val="0"/>
        </w:rPr>
        <w:t>change in the status and meaning</w:t>
      </w:r>
      <w:r w:rsidR="00254197" w:rsidRPr="006D4E63">
        <w:rPr>
          <w:rStyle w:val="Emphasis"/>
          <w:rFonts w:ascii="Avenir Book" w:eastAsiaTheme="majorEastAsia" w:hAnsi="Avenir Book"/>
          <w:i w:val="0"/>
          <w:iCs w:val="0"/>
        </w:rPr>
        <w:t>’</w:t>
      </w:r>
      <w:r w:rsidRPr="006D4E63">
        <w:rPr>
          <w:rFonts w:ascii="Avenir Book" w:hAnsi="Avenir Book"/>
        </w:rPr>
        <w:t xml:space="preserve"> of what survives (quoted in Slyomovics, p. 205). In this sense, one could say that Slyomovics approaches monuments as if they were </w:t>
      </w:r>
      <w:r w:rsidR="00254197" w:rsidRPr="006D4E63">
        <w:rPr>
          <w:rFonts w:ascii="Avenir Book" w:hAnsi="Avenir Book"/>
        </w:rPr>
        <w:t>‘</w:t>
      </w:r>
      <w:r w:rsidR="00254197" w:rsidRPr="006D4E63">
        <w:rPr>
          <w:rFonts w:ascii="Avenir Book" w:hAnsi="Avenir Book"/>
          <w:i/>
          <w:iCs/>
        </w:rPr>
        <w:t>l’</w:t>
      </w:r>
      <w:r w:rsidRPr="006D4E63">
        <w:rPr>
          <w:rStyle w:val="Emphasis"/>
          <w:rFonts w:ascii="Avenir Book" w:eastAsiaTheme="majorEastAsia" w:hAnsi="Avenir Book"/>
        </w:rPr>
        <w:t>œil de l’histoire</w:t>
      </w:r>
      <w:r w:rsidR="00254197" w:rsidRPr="006D4E63">
        <w:rPr>
          <w:rStyle w:val="Emphasis"/>
          <w:rFonts w:ascii="Avenir Book" w:eastAsiaTheme="majorEastAsia" w:hAnsi="Avenir Book"/>
          <w:i w:val="0"/>
          <w:iCs w:val="0"/>
        </w:rPr>
        <w:t>’</w:t>
      </w:r>
      <w:r w:rsidR="00254197" w:rsidRPr="006D4E63">
        <w:rPr>
          <w:rFonts w:ascii="Avenir Book" w:hAnsi="Avenir Book"/>
        </w:rPr>
        <w:t xml:space="preserve"> – </w:t>
      </w:r>
      <w:r w:rsidRPr="006D4E63">
        <w:rPr>
          <w:rFonts w:ascii="Avenir Book" w:hAnsi="Avenir Book"/>
        </w:rPr>
        <w:t>just as images were for Didi-Huberman</w:t>
      </w:r>
      <w:r w:rsidR="00254197" w:rsidRPr="006D4E63">
        <w:rPr>
          <w:rFonts w:ascii="Avenir Book" w:hAnsi="Avenir Book"/>
        </w:rPr>
        <w:t xml:space="preserve"> – </w:t>
      </w:r>
      <w:r w:rsidRPr="006D4E63">
        <w:rPr>
          <w:rFonts w:ascii="Avenir Book" w:hAnsi="Avenir Book"/>
        </w:rPr>
        <w:t xml:space="preserve">with their </w:t>
      </w:r>
      <w:r w:rsidR="00254197" w:rsidRPr="006D4E63">
        <w:rPr>
          <w:rStyle w:val="Emphasis"/>
          <w:rFonts w:ascii="Avenir Book" w:eastAsiaTheme="majorEastAsia" w:hAnsi="Avenir Book"/>
          <w:i w:val="0"/>
          <w:iCs w:val="0"/>
        </w:rPr>
        <w:t>‘</w:t>
      </w:r>
      <w:r w:rsidRPr="006D4E63">
        <w:rPr>
          <w:rStyle w:val="Emphasis"/>
          <w:rFonts w:ascii="Avenir Book" w:eastAsiaTheme="majorEastAsia" w:hAnsi="Avenir Book"/>
          <w:i w:val="0"/>
          <w:iCs w:val="0"/>
        </w:rPr>
        <w:t>tenacious vocation to render visible</w:t>
      </w:r>
      <w:r w:rsidR="00254197" w:rsidRPr="006D4E63">
        <w:rPr>
          <w:rStyle w:val="Emphasis"/>
          <w:rFonts w:ascii="Avenir Book" w:eastAsiaTheme="majorEastAsia" w:hAnsi="Avenir Book"/>
          <w:i w:val="0"/>
          <w:iCs w:val="0"/>
        </w:rPr>
        <w:t>’</w:t>
      </w:r>
      <w:r w:rsidRPr="006D4E63">
        <w:rPr>
          <w:rFonts w:ascii="Avenir Book" w:hAnsi="Avenir Book"/>
        </w:rPr>
        <w:t xml:space="preserve"> (Didi-Huberman 2003, p. 56).</w:t>
      </w:r>
    </w:p>
    <w:p w14:paraId="73C9875E" w14:textId="4053AE32"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t>This dual temporality – at once permanence and metamorphosis – constitutes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 guiding thread of the volume. French colonial monuments in Algeria, as well</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as those transferred to France after independence, are not regarded as inert relics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but as living objects, continually generating conflict, appropriation, and rewriting.</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To speak of ‘monuments after all’ thus means to observe their destiny malgré</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tout: that is, precisely as such, after colonisation, after independence, after</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decades of silence, vandalism, or resignification.</w:t>
      </w:r>
    </w:p>
    <w:p w14:paraId="78B08CC4" w14:textId="36B4EA9D"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lastRenderedPageBreak/>
        <w:t>In introducing her object of study, Slyomovics also makes explicit her debt toFrench historiography on war memory and war memorials, from Antoine Prost</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w:t>
      </w:r>
      <w:r w:rsidRPr="006D4E63">
        <w:rPr>
          <w:rFonts w:ascii="Avenir Book" w:eastAsia="Times New Roman" w:hAnsi="Avenir Book" w:cs="Times New Roman"/>
          <w:color w:val="00006D"/>
          <w:kern w:val="0"/>
          <w:lang w:val="en-IT" w:eastAsia="en-GB"/>
          <w14:ligatures w14:val="none"/>
        </w:rPr>
        <w:t>1977</w:t>
      </w:r>
      <w:r w:rsidRPr="006D4E63">
        <w:rPr>
          <w:rFonts w:ascii="Avenir Book" w:eastAsia="Times New Roman" w:hAnsi="Avenir Book" w:cs="Times New Roman"/>
          <w:color w:val="000000"/>
          <w:kern w:val="0"/>
          <w:lang w:val="en-IT" w:eastAsia="en-GB"/>
          <w14:ligatures w14:val="none"/>
        </w:rPr>
        <w:t>) to Annette Becker (</w:t>
      </w:r>
      <w:r w:rsidRPr="006D4E63">
        <w:rPr>
          <w:rFonts w:ascii="Avenir Book" w:eastAsia="Times New Roman" w:hAnsi="Avenir Book" w:cs="Times New Roman"/>
          <w:color w:val="00006D"/>
          <w:kern w:val="0"/>
          <w:lang w:val="en-IT" w:eastAsia="en-GB"/>
          <w14:ligatures w14:val="none"/>
        </w:rPr>
        <w:t>1988</w:t>
      </w:r>
      <w:r w:rsidRPr="006D4E63">
        <w:rPr>
          <w:rFonts w:ascii="Avenir Book" w:eastAsia="Times New Roman" w:hAnsi="Avenir Book" w:cs="Times New Roman"/>
          <w:color w:val="000000"/>
          <w:kern w:val="0"/>
          <w:lang w:val="en-IT" w:eastAsia="en-GB"/>
          <w14:ligatures w14:val="none"/>
        </w:rPr>
        <w:t>): Prost demonstrated how monuments served</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as instruments for the civic inscription of republican memory; Becker emphasised</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their role as sites of mourning and social cohesion. In Algeria, however, their function</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changes radically: colonial monuments do not integrate but exclude. They</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celebrate French war dead, marginalise or erase the ‘indigènes’ combatants,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and inscribe into urban space the epistemic and material violence of the metropole: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‘Frantz Fanon calls this mobilisation of topography, architecture, and infrastructure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to regulate individual spaces and respiration “occupied breathing …</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combat breathing”’ (109). The dialectic that in France was inclusive here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becomes, in the colony, a mechanism of domination. Slyomovics thus situates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herself beyond this seminal</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historiographical tradition, enriching it with a decolonial</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lens.</w:t>
      </w:r>
    </w:p>
    <w:p w14:paraId="74A4993C" w14:textId="0C94EB8F"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t>The book is divided into four chapters. In the first, the author appropriately</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chooses to focus on postcards as a visual archive of colonial monumentality: ‘In</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1990 – writes Slyomovics – I became a deltiologist, someone who studies and</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makes a hobby of collecting postcards’ (27). Postcards – produced, collected,</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and exchanged by the millions in the colony – function as portable monuments: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they reduce urban stagings of power (squares, equestrian statues, war memorials,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allegories of the ‘civilising mission’) to image, disseminate them globally, fix their</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iconography, and naturalise their presence.</w:t>
      </w:r>
    </w:p>
    <w:p w14:paraId="0E6332D9" w14:textId="0D4C1ADB"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t>Slyomovics examines this visual dispositif, bringing to light the colonial</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grammar of representation (perspectives, captions, framed civic rituals) and its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memorial reuse within diasporic cultures after 1962. Analysed here in the light</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of nostalgérie, the nostalgia of the pieds-noirs for the lost Algeria, postcards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become affective relics and instruments of an identity revival. In other words,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 chapter demonstrates how the central theme of the book – the</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hAnsi="Avenir Book"/>
          <w:color w:val="000000"/>
        </w:rPr>
        <w:t xml:space="preserve">transformative survival of monuments – unfolds in </w:t>
      </w:r>
      <w:proofErr w:type="spellStart"/>
      <w:r w:rsidRPr="006D4E63">
        <w:rPr>
          <w:rFonts w:ascii="Avenir Book" w:hAnsi="Avenir Book"/>
          <w:color w:val="000000"/>
        </w:rPr>
        <w:t>iconographic</w:t>
      </w:r>
      <w:proofErr w:type="spellEnd"/>
      <w:r w:rsidRPr="006D4E63">
        <w:rPr>
          <w:rFonts w:ascii="Avenir Book" w:hAnsi="Avenir Book"/>
          <w:color w:val="000000"/>
        </w:rPr>
        <w:t xml:space="preserve"> </w:t>
      </w:r>
      <w:proofErr w:type="spellStart"/>
      <w:r w:rsidRPr="006D4E63">
        <w:rPr>
          <w:rFonts w:ascii="Avenir Book" w:hAnsi="Avenir Book"/>
          <w:color w:val="000000"/>
        </w:rPr>
        <w:t>terms</w:t>
      </w:r>
      <w:proofErr w:type="spellEnd"/>
      <w:r w:rsidRPr="006D4E63">
        <w:rPr>
          <w:rFonts w:ascii="Avenir Book" w:hAnsi="Avenir Book"/>
          <w:color w:val="000000"/>
        </w:rPr>
        <w:t xml:space="preserve">: </w:t>
      </w:r>
      <w:proofErr w:type="spellStart"/>
      <w:r w:rsidRPr="006D4E63">
        <w:rPr>
          <w:rFonts w:ascii="Avenir Book" w:hAnsi="Avenir Book"/>
          <w:color w:val="000000"/>
        </w:rPr>
        <w:t>monuments</w:t>
      </w:r>
      <w:proofErr w:type="spellEnd"/>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‘survive’ when formatted as postcards, circulate out of place and out of</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scale, and in this translation continue to produce memory and to politicise the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gaze.</w:t>
      </w:r>
    </w:p>
    <w:p w14:paraId="4261B50A" w14:textId="02AC3DA2"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t>The second chapter shifts attention from the iconographic medium to material</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mobility: how, when, and why numerous war memorials erected in Algeria</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(particularly</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in the province of Oran) were removed and transferred to France in the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aftermath of independence. Here, Slyomovics focuses on what might be termed</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 economy of monumental relocations: actors (associations of former settlers,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municipal administrations, the military), procedures (authorisations, seizures,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nocturnal</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‘rescues’), and the new sites of arrival in metropolitan territory (parks,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commemorative</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squares, cemeteries, museums).</w:t>
      </w:r>
    </w:p>
    <w:p w14:paraId="211668F3" w14:textId="77B95580"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t>It is in this context that the author also discusses the well-known case of the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statue taken from the Oran memorial and reinstalled in Lyon, which becomes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 starting point for an inquiry into why and how a memorial ‘from Oran’</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 xml:space="preserve">should appear </w:t>
      </w:r>
      <w:r w:rsidRPr="006D4E63">
        <w:rPr>
          <w:rFonts w:ascii="Avenir Book" w:eastAsia="Times New Roman" w:hAnsi="Avenir Book" w:cs="Times New Roman"/>
          <w:color w:val="000000"/>
          <w:kern w:val="0"/>
          <w:lang w:val="en-IT" w:eastAsia="en-GB"/>
          <w14:ligatures w14:val="none"/>
        </w:rPr>
        <w:lastRenderedPageBreak/>
        <w:t>in a French square. Following Cooper and Stoler (</w:t>
      </w:r>
      <w:r w:rsidRPr="006D4E63">
        <w:rPr>
          <w:rFonts w:ascii="Avenir Book" w:eastAsia="Times New Roman" w:hAnsi="Avenir Book" w:cs="Times New Roman"/>
          <w:color w:val="00006D"/>
          <w:kern w:val="0"/>
          <w:lang w:val="en-IT" w:eastAsia="en-GB"/>
          <w14:ligatures w14:val="none"/>
        </w:rPr>
        <w:t>1997</w:t>
      </w:r>
      <w:r w:rsidRPr="006D4E63">
        <w:rPr>
          <w:rFonts w:ascii="Avenir Book" w:eastAsia="Times New Roman" w:hAnsi="Avenir Book" w:cs="Times New Roman"/>
          <w:color w:val="000000"/>
          <w:kern w:val="0"/>
          <w:lang w:val="en-IT" w:eastAsia="en-GB"/>
          <w14:ligatures w14:val="none"/>
        </w:rPr>
        <w:t>), Slyomovics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proposes a ‘particular biography of the Oran-Lyon war memorial’ that</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studies ‘colony and metropole as a single analytical frame’ (211). In this sense,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 operation, Slyomovics argues, is never neutral: the transfer re-localises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meaning and thereby produces new commemorative rituals within the diaspora.</w:t>
      </w:r>
    </w:p>
    <w:p w14:paraId="0148BD36" w14:textId="01765ABE"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t>The third chapter addresses the paradigmatic case of Sidi-Bel-Abbès, the historic</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headquarters of the French Foreign Legion (created in 1831 precisely to</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support the conquest of Algeria). Here Slyomovics meticulously reconstructs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 monumental landscape of the military corps, which sustained the myth of</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 city’s (and indeed a whole world’s) foundation by pioneers who conquered</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an ‘empty’ land (or rather, one deemed such in accordance with a central pillar</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of settler colonial ideology). With Algerian independence, the Legion decided</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to dismantle its ‘world’ piece by piece and transfer it to its new headquartersin Aubagne, France, rather than leave it to the Algerians. The analysis combines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institutional history, ethnography of military commemorations, and iconographicinterpretation of the heroic forms through which the Legion represented itself in</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Algerian urban space.</w:t>
      </w:r>
    </w:p>
    <w:p w14:paraId="1557BFB7" w14:textId="3739B7ED"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t>Here the theme of ‘monuments after all’ becomes dismantling in both the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literal and figurative sense: dismantling a world (that of French settlement inAlgeria) entails the material redistribution of statues, plaques, reliquaries, and,</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symbolically, of functions (self-representation, military mourning, foundation</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myth). The chapter also reveals the frictions and conflicts between the Legion’s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heritage, the post-independence Algerian public sphere, and contemporary</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French memories, highlighting the constitutively transnational dimension of</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 dispute. ‘The circulation of these statues and monuments between Algeria</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and France – writes Slyomovics – is a salutary reminder of the unfinished Algerian</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conversation with the departed French other’ (137).</w:t>
      </w:r>
    </w:p>
    <w:p w14:paraId="006742E0" w14:textId="382C124F"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t>The fourth and final chapter revolves around the figure of the artist Ahmed</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Benyahia and the landscape of public sculpture in the Constantine region. Here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Slyomovics draws on the valuable interview with the artist conducted b</w:t>
      </w:r>
      <w:r w:rsidR="006D4E63">
        <w:rPr>
          <w:rFonts w:ascii="Avenir Book" w:eastAsia="Times New Roman" w:hAnsi="Avenir Book" w:cs="Times New Roman"/>
          <w:color w:val="000000"/>
          <w:kern w:val="0"/>
          <w:lang w:val="en-IT" w:eastAsia="en-GB"/>
          <w14:ligatures w14:val="none"/>
        </w:rPr>
        <w:t xml:space="preserve">y </w:t>
      </w:r>
      <w:r w:rsidRPr="006D4E63">
        <w:rPr>
          <w:rFonts w:ascii="Avenir Book" w:eastAsia="Times New Roman" w:hAnsi="Avenir Book" w:cs="Times New Roman"/>
          <w:color w:val="000000"/>
          <w:kern w:val="0"/>
          <w:lang w:val="en-IT" w:eastAsia="en-GB"/>
          <w14:ligatures w14:val="none"/>
        </w:rPr>
        <w:t>Natalya Vince and Walid Benkhaled (</w:t>
      </w:r>
      <w:r w:rsidRPr="006D4E63">
        <w:rPr>
          <w:rFonts w:ascii="Avenir Book" w:eastAsia="Times New Roman" w:hAnsi="Avenir Book" w:cs="Times New Roman"/>
          <w:color w:val="00006D"/>
          <w:kern w:val="0"/>
          <w:lang w:val="en-IT" w:eastAsia="en-GB"/>
          <w14:ligatures w14:val="none"/>
        </w:rPr>
        <w:t>2019</w:t>
      </w:r>
      <w:r w:rsidRPr="006D4E63">
        <w:rPr>
          <w:rFonts w:ascii="Avenir Book" w:eastAsia="Times New Roman" w:hAnsi="Avenir Book" w:cs="Times New Roman"/>
          <w:color w:val="000000"/>
          <w:kern w:val="0"/>
          <w:lang w:val="en-IT" w:eastAsia="en-GB"/>
          <w14:ligatures w14:val="none"/>
        </w:rPr>
        <w:t>), to which she adds her own interviews</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hAnsi="Avenir Book"/>
          <w:color w:val="000000"/>
        </w:rPr>
        <w:t xml:space="preserve">with Benyahia alongside her characteristic ethnographic approach. </w:t>
      </w:r>
      <w:proofErr w:type="spellStart"/>
      <w:r w:rsidRPr="006D4E63">
        <w:rPr>
          <w:rFonts w:ascii="Avenir Book" w:hAnsi="Avenir Book"/>
          <w:color w:val="000000"/>
        </w:rPr>
        <w:t>What</w:t>
      </w:r>
      <w:proofErr w:type="spellEnd"/>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emerges is a different movement from the first three chapters: not the dismantling</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or relocation of monuments inherited from colonialism, but the active construction</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of Algerian provenances and genealogies for contemporary public art.</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‘Creating provenance’ entails documenting authors, patrons, sites, and materials;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inscribing sculpture within chains of transmission and local narratives; working</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with institutions and archives that can give form to a history of public art not</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derived from the metropole. In this way, the book demonstrates that the decolonisation</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of monumentality is not limited to the destruction or rewriting of French</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artefacts, but also involves the positive construction of new heritages and new</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memories rooted in the Algerian present.</w:t>
      </w:r>
    </w:p>
    <w:p w14:paraId="46188EC8" w14:textId="57AC5509"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lastRenderedPageBreak/>
        <w:t>In dialogue with the Algerian sculptor and painter Ahmed Benyahia, Slyomovics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highlights two theoretical configurations that appear particularly useful for</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overcoming</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the impasse in which the debate on (post) colonial memories currently</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finds itself (in France as elsewhere): the Situation it détournement, and what</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Benyahia</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calls amour colonial, which Slyomovics translates as ‘settler love’. For both, the</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author focuses on the Algerian context. The ‘détournement [hijacking] of prefabricated</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aesthetic elements’ is explained through the classic definition of the Situationist</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International of 1958 as ‘the integration of present or past artistic production into</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 superior construction of a milieu’ (156). Amour colonial, by contrast, highlights the</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paradox whereby, as Benyahia insists, ‘the French really loved Constantine’, in the</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sense that ‘they love Algeria without Algerians’ (189). The author thus positions</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herself firmly within what I would regard as the most promising field of inquiry</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within memory studies, namely one that focuses on how memory and identities</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actually function, rather than stopping at a superficial definition of memory. In</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 xml:space="preserve">other words, she adopts a bottom-up rather than a top-down approach. </w:t>
      </w:r>
    </w:p>
    <w:p w14:paraId="49EF2A6C" w14:textId="66215347"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t>In this</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respect, Susan Slyomovics’s book offers a pivotal contribution to the study of colonial</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memories. By productively bringing together a wide variety of approaches,</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Monuments Decolonized demonstrates how monuments remain battlegrounds of</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memory. They are monuments malgré tout: they survive, they are transformed,</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rewritten, and re-signified. They cannot simply be erased, for their very stone</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retains the trace of colonial violence. Yet they can be reinterpreted, bent to new narratives,</w:t>
      </w:r>
      <w:r w:rsidRP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and integrated into a renewed cultural heritage.</w:t>
      </w:r>
    </w:p>
    <w:p w14:paraId="15FA07C4" w14:textId="58B1540B" w:rsidR="007D2FBB" w:rsidRPr="006D4E63" w:rsidRDefault="007D2FBB" w:rsidP="006D4E63">
      <w:pPr>
        <w:spacing w:after="80"/>
        <w:ind w:firstLine="284"/>
        <w:rPr>
          <w:rFonts w:ascii="Avenir Book" w:eastAsia="Times New Roman" w:hAnsi="Avenir Book" w:cs="Times New Roman"/>
          <w:color w:val="000000"/>
          <w:kern w:val="0"/>
          <w:lang w:val="en-IT" w:eastAsia="en-GB"/>
          <w14:ligatures w14:val="none"/>
        </w:rPr>
      </w:pPr>
      <w:r w:rsidRPr="006D4E63">
        <w:rPr>
          <w:rFonts w:ascii="Avenir Book" w:eastAsia="Times New Roman" w:hAnsi="Avenir Book" w:cs="Times New Roman"/>
          <w:color w:val="000000"/>
          <w:kern w:val="0"/>
          <w:lang w:val="en-IT" w:eastAsia="en-GB"/>
          <w14:ligatures w14:val="none"/>
        </w:rPr>
        <w:t>At a historical moment when the question of decolonising public space has</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once again come forcefully to the fore across the world – from England to the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United States, from Italy to South Africa – Slyomovics’s book provides invaluable</w:t>
      </w:r>
      <w:r w:rsidR="006D4E63">
        <w:rPr>
          <w:rFonts w:ascii="Avenir Book" w:eastAsia="Times New Roman" w:hAnsi="Avenir Book" w:cs="Times New Roman"/>
          <w:color w:val="000000"/>
          <w:kern w:val="0"/>
          <w:lang w:val="en-IT" w:eastAsia="en-GB"/>
          <w14:ligatures w14:val="none"/>
        </w:rPr>
        <w:t xml:space="preserve"> </w:t>
      </w:r>
      <w:r w:rsidRPr="006D4E63">
        <w:rPr>
          <w:rFonts w:ascii="Avenir Book" w:eastAsia="Times New Roman" w:hAnsi="Avenir Book" w:cs="Times New Roman"/>
          <w:color w:val="000000"/>
          <w:kern w:val="0"/>
          <w:lang w:val="en-IT" w:eastAsia="en-GB"/>
          <w14:ligatures w14:val="none"/>
        </w:rPr>
        <w:t>analytical tools.</w:t>
      </w:r>
    </w:p>
    <w:p w14:paraId="49A3DFB4" w14:textId="77777777" w:rsidR="00B426DD" w:rsidRPr="007D2FBB" w:rsidRDefault="00B426DD" w:rsidP="005B7390">
      <w:pPr>
        <w:spacing w:after="80"/>
        <w:rPr>
          <w:rFonts w:ascii="Avenir Book" w:eastAsia="Times New Roman" w:hAnsi="Avenir Book" w:cs="Times New Roman"/>
          <w:kern w:val="0"/>
          <w:lang w:val="en-IT" w:eastAsia="en-GB"/>
          <w14:ligatures w14:val="none"/>
        </w:rPr>
      </w:pPr>
    </w:p>
    <w:p w14:paraId="3A576245" w14:textId="77777777" w:rsidR="009B77E8" w:rsidRPr="007D2FBB" w:rsidRDefault="009B77E8" w:rsidP="005B7390">
      <w:pPr>
        <w:spacing w:after="80"/>
        <w:rPr>
          <w:rFonts w:ascii="Avenir Book" w:hAnsi="Avenir Book"/>
        </w:rPr>
      </w:pPr>
    </w:p>
    <w:p w14:paraId="71F616B3" w14:textId="77777777" w:rsidR="007D2FBB" w:rsidRDefault="007D2FBB" w:rsidP="007D2FBB">
      <w:pPr>
        <w:rPr>
          <w:rFonts w:ascii="Avenir Book" w:eastAsia="Times New Roman" w:hAnsi="Avenir Book" w:cs="Times New Roman"/>
          <w:b/>
          <w:bCs/>
          <w:color w:val="1C1F3C"/>
          <w:kern w:val="0"/>
          <w:lang w:val="en-IT" w:eastAsia="en-GB"/>
          <w14:ligatures w14:val="none"/>
        </w:rPr>
      </w:pPr>
      <w:r w:rsidRPr="007D2FBB">
        <w:rPr>
          <w:rFonts w:ascii="Avenir Book" w:eastAsia="Times New Roman" w:hAnsi="Avenir Book" w:cs="Times New Roman"/>
          <w:b/>
          <w:bCs/>
          <w:color w:val="1C1F3C"/>
          <w:kern w:val="0"/>
          <w:lang w:val="en-IT" w:eastAsia="en-GB"/>
          <w14:ligatures w14:val="none"/>
        </w:rPr>
        <w:t>References</w:t>
      </w:r>
    </w:p>
    <w:p w14:paraId="63D57540" w14:textId="77777777" w:rsidR="006D4E63" w:rsidRPr="007D2FBB" w:rsidRDefault="006D4E63" w:rsidP="007D2FBB">
      <w:pPr>
        <w:rPr>
          <w:rFonts w:ascii="Avenir Book" w:eastAsia="Times New Roman" w:hAnsi="Avenir Book" w:cs="Times New Roman"/>
          <w:b/>
          <w:bCs/>
          <w:color w:val="1C1F3C"/>
          <w:kern w:val="0"/>
          <w:lang w:val="en-IT" w:eastAsia="en-GB"/>
          <w14:ligatures w14:val="none"/>
        </w:rPr>
      </w:pPr>
    </w:p>
    <w:p w14:paraId="1EBEAAB8" w14:textId="4B6E8841" w:rsidR="007D2FBB" w:rsidRDefault="007D2FBB" w:rsidP="006D4E63">
      <w:pPr>
        <w:ind w:left="567" w:hanging="567"/>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 xml:space="preserve">Becker, Annette. </w:t>
      </w:r>
      <w:r w:rsidRPr="007D2FBB">
        <w:rPr>
          <w:rFonts w:ascii="Avenir Book" w:eastAsia="Times New Roman" w:hAnsi="Avenir Book" w:cs="Times New Roman"/>
          <w:color w:val="00006D"/>
          <w:kern w:val="0"/>
          <w:lang w:val="en-IT" w:eastAsia="en-GB"/>
          <w14:ligatures w14:val="none"/>
        </w:rPr>
        <w:t>1988</w:t>
      </w:r>
      <w:r w:rsidRPr="007D2FBB">
        <w:rPr>
          <w:rFonts w:ascii="Avenir Book" w:eastAsia="Times New Roman" w:hAnsi="Avenir Book" w:cs="Times New Roman"/>
          <w:color w:val="000000"/>
          <w:kern w:val="0"/>
          <w:lang w:val="en-IT" w:eastAsia="en-GB"/>
          <w14:ligatures w14:val="none"/>
        </w:rPr>
        <w:t>. Les monuments aux morts. Patrimoine et mémoire de la Grande Guerre.</w:t>
      </w:r>
      <w:r>
        <w:rPr>
          <w:rFonts w:ascii="Avenir Book" w:eastAsia="Times New Roman" w:hAnsi="Avenir Book" w:cs="Times New Roman"/>
          <w:color w:val="000000"/>
          <w:kern w:val="0"/>
          <w:lang w:val="en-IT" w:eastAsia="en-GB"/>
          <w14:ligatures w14:val="none"/>
        </w:rPr>
        <w:t xml:space="preserve"> </w:t>
      </w:r>
      <w:r w:rsidRPr="007D2FBB">
        <w:rPr>
          <w:rFonts w:ascii="Avenir Book" w:eastAsia="Times New Roman" w:hAnsi="Avenir Book" w:cs="Times New Roman"/>
          <w:color w:val="000000"/>
          <w:kern w:val="0"/>
          <w:lang w:val="en-IT" w:eastAsia="en-GB"/>
          <w14:ligatures w14:val="none"/>
        </w:rPr>
        <w:t>Paris: Errance.</w:t>
      </w:r>
    </w:p>
    <w:p w14:paraId="75C22912" w14:textId="6A6DF6E9" w:rsidR="007D2FBB" w:rsidRDefault="007D2FBB" w:rsidP="006D4E63">
      <w:pPr>
        <w:ind w:left="567" w:hanging="567"/>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 xml:space="preserve">Cooper, Frederick, and Ann Laura Stoler. eds. </w:t>
      </w:r>
      <w:r w:rsidRPr="007D2FBB">
        <w:rPr>
          <w:rFonts w:ascii="Avenir Book" w:eastAsia="Times New Roman" w:hAnsi="Avenir Book" w:cs="Times New Roman"/>
          <w:color w:val="00006D"/>
          <w:kern w:val="0"/>
          <w:lang w:val="en-IT" w:eastAsia="en-GB"/>
          <w14:ligatures w14:val="none"/>
        </w:rPr>
        <w:t>1997</w:t>
      </w:r>
      <w:r w:rsidRPr="007D2FBB">
        <w:rPr>
          <w:rFonts w:ascii="Avenir Book" w:eastAsia="Times New Roman" w:hAnsi="Avenir Book" w:cs="Times New Roman"/>
          <w:color w:val="000000"/>
          <w:kern w:val="0"/>
          <w:lang w:val="en-IT" w:eastAsia="en-GB"/>
          <w14:ligatures w14:val="none"/>
        </w:rPr>
        <w:t>. Tensions of Empire: Colonial Cultures in a</w:t>
      </w:r>
      <w:r>
        <w:rPr>
          <w:rFonts w:ascii="Avenir Book" w:eastAsia="Times New Roman" w:hAnsi="Avenir Book" w:cs="Times New Roman"/>
          <w:color w:val="000000"/>
          <w:kern w:val="0"/>
          <w:lang w:val="en-IT" w:eastAsia="en-GB"/>
          <w14:ligatures w14:val="none"/>
        </w:rPr>
        <w:t xml:space="preserve"> </w:t>
      </w:r>
      <w:r w:rsidRPr="007D2FBB">
        <w:rPr>
          <w:rFonts w:ascii="Avenir Book" w:eastAsia="Times New Roman" w:hAnsi="Avenir Book" w:cs="Times New Roman"/>
          <w:color w:val="000000"/>
          <w:kern w:val="0"/>
          <w:lang w:val="en-IT" w:eastAsia="en-GB"/>
          <w14:ligatures w14:val="none"/>
        </w:rPr>
        <w:t>Bourgeois World. Berkeley: University of California Press.</w:t>
      </w:r>
    </w:p>
    <w:p w14:paraId="387312D8" w14:textId="17A6258F" w:rsidR="006D4E63" w:rsidRDefault="007D2FBB" w:rsidP="006D4E63">
      <w:pPr>
        <w:ind w:left="567" w:hanging="567"/>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 xml:space="preserve">Didi-Huberman, Georges. </w:t>
      </w:r>
      <w:r w:rsidRPr="007D2FBB">
        <w:rPr>
          <w:rFonts w:ascii="Avenir Book" w:eastAsia="Times New Roman" w:hAnsi="Avenir Book" w:cs="Times New Roman"/>
          <w:color w:val="00006D"/>
          <w:kern w:val="0"/>
          <w:lang w:val="en-IT" w:eastAsia="en-GB"/>
          <w14:ligatures w14:val="none"/>
        </w:rPr>
        <w:t>2003</w:t>
      </w:r>
      <w:r w:rsidRPr="007D2FBB">
        <w:rPr>
          <w:rFonts w:ascii="Avenir Book" w:eastAsia="Times New Roman" w:hAnsi="Avenir Book" w:cs="Times New Roman"/>
          <w:color w:val="000000"/>
          <w:kern w:val="0"/>
          <w:lang w:val="en-IT" w:eastAsia="en-GB"/>
          <w14:ligatures w14:val="none"/>
        </w:rPr>
        <w:t>. Images malgré tout. Paris: éditions de Minuit.</w:t>
      </w:r>
    </w:p>
    <w:p w14:paraId="53D1FCC9" w14:textId="5BFB9B6A" w:rsidR="006D4E63" w:rsidRDefault="007D2FBB" w:rsidP="006D4E63">
      <w:pPr>
        <w:ind w:left="567" w:hanging="567"/>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 xml:space="preserve">Prost, Antoine. </w:t>
      </w:r>
      <w:r w:rsidRPr="007D2FBB">
        <w:rPr>
          <w:rFonts w:ascii="Avenir Book" w:eastAsia="Times New Roman" w:hAnsi="Avenir Book" w:cs="Times New Roman"/>
          <w:color w:val="00006D"/>
          <w:kern w:val="0"/>
          <w:lang w:val="en-IT" w:eastAsia="en-GB"/>
          <w14:ligatures w14:val="none"/>
        </w:rPr>
        <w:t>1977</w:t>
      </w:r>
      <w:r w:rsidRPr="007D2FBB">
        <w:rPr>
          <w:rFonts w:ascii="Avenir Book" w:eastAsia="Times New Roman" w:hAnsi="Avenir Book" w:cs="Times New Roman"/>
          <w:color w:val="000000"/>
          <w:kern w:val="0"/>
          <w:lang w:val="en-IT" w:eastAsia="en-GB"/>
          <w14:ligatures w14:val="none"/>
        </w:rPr>
        <w:t>. Les anciens combattants et la société française (1914–1939). Paris: Presses de</w:t>
      </w:r>
      <w:r>
        <w:rPr>
          <w:rFonts w:ascii="Avenir Book" w:eastAsia="Times New Roman" w:hAnsi="Avenir Book" w:cs="Times New Roman"/>
          <w:color w:val="000000"/>
          <w:kern w:val="0"/>
          <w:lang w:val="en-IT" w:eastAsia="en-GB"/>
          <w14:ligatures w14:val="none"/>
        </w:rPr>
        <w:t xml:space="preserve"> </w:t>
      </w:r>
      <w:r w:rsidRPr="007D2FBB">
        <w:rPr>
          <w:rFonts w:ascii="Avenir Book" w:eastAsia="Times New Roman" w:hAnsi="Avenir Book" w:cs="Times New Roman"/>
          <w:color w:val="000000"/>
          <w:kern w:val="0"/>
          <w:lang w:val="en-IT" w:eastAsia="en-GB"/>
          <w14:ligatures w14:val="none"/>
        </w:rPr>
        <w:t>la Fondation nationale de sciences politiques.</w:t>
      </w:r>
    </w:p>
    <w:p w14:paraId="6DA03CA5" w14:textId="1E998948" w:rsidR="007D2FBB" w:rsidRPr="007D2FBB" w:rsidRDefault="007D2FBB" w:rsidP="006D4E63">
      <w:pPr>
        <w:ind w:left="567" w:hanging="567"/>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 xml:space="preserve">Vince, Natalya, and Walid. Walid Benhakled. </w:t>
      </w:r>
      <w:r w:rsidRPr="007D2FBB">
        <w:rPr>
          <w:rFonts w:ascii="Avenir Book" w:eastAsia="Times New Roman" w:hAnsi="Avenir Book" w:cs="Times New Roman"/>
          <w:color w:val="00006D"/>
          <w:kern w:val="0"/>
          <w:lang w:val="en-IT" w:eastAsia="en-GB"/>
          <w14:ligatures w14:val="none"/>
        </w:rPr>
        <w:t>2019</w:t>
      </w:r>
      <w:r w:rsidRPr="007D2FBB">
        <w:rPr>
          <w:rFonts w:ascii="Avenir Book" w:eastAsia="Times New Roman" w:hAnsi="Avenir Book" w:cs="Times New Roman"/>
          <w:color w:val="000000"/>
          <w:kern w:val="0"/>
          <w:lang w:val="en-IT" w:eastAsia="en-GB"/>
          <w14:ligatures w14:val="none"/>
        </w:rPr>
        <w:t>.</w:t>
      </w:r>
      <w:r w:rsidR="006D4E63">
        <w:rPr>
          <w:rFonts w:ascii="Avenir Book" w:eastAsia="Times New Roman" w:hAnsi="Avenir Book" w:cs="Times New Roman"/>
          <w:color w:val="000000"/>
          <w:kern w:val="0"/>
          <w:lang w:val="en-IT" w:eastAsia="en-GB"/>
          <w14:ligatures w14:val="none"/>
        </w:rPr>
        <w:t xml:space="preserve"> </w:t>
      </w:r>
      <w:r w:rsidRPr="007D2FBB">
        <w:rPr>
          <w:rFonts w:ascii="Avenir Book" w:eastAsia="Times New Roman" w:hAnsi="Avenir Book" w:cs="Times New Roman"/>
          <w:color w:val="000000"/>
          <w:kern w:val="0"/>
          <w:lang w:val="en-IT" w:eastAsia="en-GB"/>
          <w14:ligatures w14:val="none"/>
        </w:rPr>
        <w:t>‘The Long History of a Short-Lived Statue’,</w:t>
      </w:r>
      <w:r w:rsidR="006D4E63">
        <w:rPr>
          <w:rFonts w:ascii="Avenir Book" w:eastAsia="Times New Roman" w:hAnsi="Avenir Book" w:cs="Times New Roman"/>
          <w:color w:val="000000"/>
          <w:kern w:val="0"/>
          <w:lang w:val="en-IT" w:eastAsia="en-GB"/>
          <w14:ligatures w14:val="none"/>
        </w:rPr>
        <w:t xml:space="preserve"> </w:t>
      </w:r>
      <w:r w:rsidRPr="007D2FBB">
        <w:rPr>
          <w:rFonts w:ascii="Avenir Book" w:eastAsia="Times New Roman" w:hAnsi="Avenir Book" w:cs="Times New Roman"/>
          <w:color w:val="000000"/>
          <w:kern w:val="0"/>
          <w:lang w:val="en-IT" w:eastAsia="en-GB"/>
          <w14:ligatures w14:val="none"/>
        </w:rPr>
        <w:t>interview with Ahmed Benyahia. Interview part of the Generation Independence project.</w:t>
      </w:r>
      <w:r w:rsidR="006D4E63">
        <w:rPr>
          <w:rFonts w:ascii="Avenir Book" w:eastAsia="Times New Roman" w:hAnsi="Avenir Book" w:cs="Times New Roman"/>
          <w:color w:val="000000"/>
          <w:kern w:val="0"/>
          <w:lang w:val="en-IT" w:eastAsia="en-GB"/>
          <w14:ligatures w14:val="none"/>
        </w:rPr>
        <w:t xml:space="preserve"> </w:t>
      </w:r>
      <w:r w:rsidRPr="007D2FBB">
        <w:rPr>
          <w:rFonts w:ascii="Avenir Book" w:eastAsia="Times New Roman" w:hAnsi="Avenir Book" w:cs="Times New Roman"/>
          <w:color w:val="000000"/>
          <w:kern w:val="0"/>
          <w:lang w:val="en-IT" w:eastAsia="en-GB"/>
          <w14:ligatures w14:val="none"/>
        </w:rPr>
        <w:t>YouTube. Uploaded 11 November 2019.</w:t>
      </w:r>
    </w:p>
    <w:p w14:paraId="21CFB3CE" w14:textId="77777777" w:rsidR="006D4E63" w:rsidRDefault="006D4E63" w:rsidP="007D2FBB">
      <w:pPr>
        <w:rPr>
          <w:rFonts w:ascii="Avenir Book" w:eastAsia="Times New Roman" w:hAnsi="Avenir Book" w:cs="Times New Roman"/>
          <w:color w:val="000000"/>
          <w:kern w:val="0"/>
          <w:lang w:val="en-IT" w:eastAsia="en-GB"/>
          <w14:ligatures w14:val="none"/>
        </w:rPr>
      </w:pPr>
    </w:p>
    <w:p w14:paraId="0BA73C15" w14:textId="77777777" w:rsidR="006D4E63" w:rsidRDefault="006D4E63" w:rsidP="007D2FBB">
      <w:pPr>
        <w:rPr>
          <w:rFonts w:ascii="Avenir Book" w:eastAsia="Times New Roman" w:hAnsi="Avenir Book" w:cs="Times New Roman"/>
          <w:color w:val="000000"/>
          <w:kern w:val="0"/>
          <w:lang w:val="en-IT" w:eastAsia="en-GB"/>
          <w14:ligatures w14:val="none"/>
        </w:rPr>
      </w:pPr>
    </w:p>
    <w:p w14:paraId="37436B2C" w14:textId="534BE652" w:rsidR="007D2FBB" w:rsidRPr="007D2FBB" w:rsidRDefault="007D2FBB" w:rsidP="007D2FBB">
      <w:pPr>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Andrea Brazzoduro</w:t>
      </w:r>
    </w:p>
    <w:p w14:paraId="307339BF" w14:textId="77777777" w:rsidR="007D2FBB" w:rsidRPr="007D2FBB" w:rsidRDefault="007D2FBB" w:rsidP="007D2FBB">
      <w:pPr>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Università di Napoli L’Orientale, Naples, Italy</w:t>
      </w:r>
    </w:p>
    <w:p w14:paraId="4F7B2828" w14:textId="77777777" w:rsidR="007D2FBB" w:rsidRPr="007D2FBB" w:rsidRDefault="007D2FBB" w:rsidP="007D2FBB">
      <w:pPr>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Maison française d’Oxford, Oxford, UK</w:t>
      </w:r>
    </w:p>
    <w:p w14:paraId="42C06338" w14:textId="77777777" w:rsidR="007D2FBB" w:rsidRPr="007D2FBB" w:rsidRDefault="007D2FBB" w:rsidP="007D2FBB">
      <w:pPr>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andrea.brazzoduro@unior.it</w:t>
      </w:r>
    </w:p>
    <w:p w14:paraId="69AB2944" w14:textId="77777777" w:rsidR="007D2FBB" w:rsidRPr="007D2FBB" w:rsidRDefault="007D2FBB" w:rsidP="007D2FBB">
      <w:pPr>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 2026 The Author(s)</w:t>
      </w:r>
    </w:p>
    <w:p w14:paraId="665B124F" w14:textId="77777777" w:rsidR="007D2FBB" w:rsidRPr="007D2FBB" w:rsidRDefault="007D2FBB" w:rsidP="007D2FBB">
      <w:pPr>
        <w:rPr>
          <w:rFonts w:ascii="Avenir Book" w:eastAsia="Times New Roman" w:hAnsi="Avenir Book" w:cs="Times New Roman"/>
          <w:color w:val="000000"/>
          <w:kern w:val="0"/>
          <w:lang w:val="en-IT" w:eastAsia="en-GB"/>
          <w14:ligatures w14:val="none"/>
        </w:rPr>
      </w:pPr>
      <w:r w:rsidRPr="007D2FBB">
        <w:rPr>
          <w:rFonts w:ascii="Avenir Book" w:eastAsia="Times New Roman" w:hAnsi="Avenir Book" w:cs="Times New Roman"/>
          <w:color w:val="000000"/>
          <w:kern w:val="0"/>
          <w:lang w:val="en-IT" w:eastAsia="en-GB"/>
          <w14:ligatures w14:val="none"/>
        </w:rPr>
        <w:t>https://doi.org/10.1080/13629387.2026.2637196</w:t>
      </w:r>
    </w:p>
    <w:p w14:paraId="48A2D5D4" w14:textId="77777777" w:rsidR="008406F9" w:rsidRPr="007D2FBB" w:rsidRDefault="008406F9" w:rsidP="005B7390">
      <w:pPr>
        <w:spacing w:after="80"/>
        <w:rPr>
          <w:rFonts w:ascii="Avenir Book" w:hAnsi="Avenir Book"/>
        </w:rPr>
      </w:pPr>
    </w:p>
    <w:p w14:paraId="601012F8" w14:textId="77777777" w:rsidR="006471F7" w:rsidRPr="007D2FBB" w:rsidRDefault="006471F7" w:rsidP="005B7390">
      <w:pPr>
        <w:spacing w:after="80"/>
        <w:rPr>
          <w:rFonts w:ascii="Avenir Book" w:hAnsi="Avenir Book"/>
        </w:rPr>
      </w:pPr>
    </w:p>
    <w:p w14:paraId="2CBBC5DF" w14:textId="77777777" w:rsidR="006471F7" w:rsidRDefault="006471F7" w:rsidP="005B7390">
      <w:pPr>
        <w:spacing w:after="80"/>
      </w:pPr>
    </w:p>
    <w:sectPr w:rsidR="006471F7">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169E43" w14:textId="77777777" w:rsidR="00393644" w:rsidRDefault="00393644" w:rsidP="00057DE2">
      <w:r>
        <w:separator/>
      </w:r>
    </w:p>
  </w:endnote>
  <w:endnote w:type="continuationSeparator" w:id="0">
    <w:p w14:paraId="5471B443" w14:textId="77777777" w:rsidR="00393644" w:rsidRDefault="00393644" w:rsidP="00057D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Avenir Book">
    <w:panose1 w:val="02000503020000020003"/>
    <w:charset w:val="00"/>
    <w:family w:val="auto"/>
    <w:pitch w:val="variable"/>
    <w:sig w:usb0="800000AF" w:usb1="5000204A" w:usb2="00000000" w:usb3="00000000" w:csb0="0000009B"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80FD7B" w14:textId="77777777" w:rsidR="00393644" w:rsidRDefault="00393644" w:rsidP="00057DE2">
      <w:r>
        <w:separator/>
      </w:r>
    </w:p>
  </w:footnote>
  <w:footnote w:type="continuationSeparator" w:id="0">
    <w:p w14:paraId="2D89498A" w14:textId="77777777" w:rsidR="00393644" w:rsidRDefault="00393644" w:rsidP="00057D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3194FF" w14:textId="280DB57B" w:rsidR="007D2FBB" w:rsidRDefault="007D2FBB">
    <w:pPr>
      <w:pStyle w:val="Header"/>
    </w:pPr>
    <w:r>
      <w:t xml:space="preserve">Journal of North </w:t>
    </w:r>
    <w:proofErr w:type="spellStart"/>
    <w:r>
      <w:t>African</w:t>
    </w:r>
    <w:proofErr w:type="spellEnd"/>
    <w:r>
      <w:t xml:space="preserve"> Studies, </w:t>
    </w:r>
    <w:r w:rsidR="006D4E63">
      <w:t xml:space="preserve">Volume 31, </w:t>
    </w:r>
    <w:r>
      <w:t>2026</w:t>
    </w:r>
    <w:r w:rsidR="006D4E63">
      <w:t xml:space="preserve"> - </w:t>
    </w:r>
    <w:proofErr w:type="spellStart"/>
    <w:r w:rsidR="006D4E63">
      <w:t>Issue</w:t>
    </w:r>
    <w:proofErr w:type="spellEnd"/>
    <w:r w:rsidR="006D4E63">
      <w:t xml:space="preserve"> 3, </w:t>
    </w:r>
    <w:r>
      <w:t>pp. 626-630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462F1D"/>
    <w:multiLevelType w:val="multilevel"/>
    <w:tmpl w:val="53D6A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AE5955"/>
    <w:multiLevelType w:val="hybridMultilevel"/>
    <w:tmpl w:val="0EAC1D52"/>
    <w:lvl w:ilvl="0" w:tplc="F68CFA40">
      <w:start w:val="1"/>
      <w:numFmt w:val="decimal"/>
      <w:lvlText w:val="%1)"/>
      <w:lvlJc w:val="left"/>
      <w:pPr>
        <w:ind w:left="740" w:hanging="3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8712030">
    <w:abstractNumId w:val="0"/>
  </w:num>
  <w:num w:numId="2" w16cid:durableId="346239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60A5"/>
    <w:rsid w:val="00011212"/>
    <w:rsid w:val="00043F4F"/>
    <w:rsid w:val="00057DE2"/>
    <w:rsid w:val="00113676"/>
    <w:rsid w:val="00227CFB"/>
    <w:rsid w:val="00254197"/>
    <w:rsid w:val="0027463D"/>
    <w:rsid w:val="00282FFA"/>
    <w:rsid w:val="002A577A"/>
    <w:rsid w:val="002C5CA0"/>
    <w:rsid w:val="002E72DB"/>
    <w:rsid w:val="00393644"/>
    <w:rsid w:val="0039666A"/>
    <w:rsid w:val="00474335"/>
    <w:rsid w:val="00537EF4"/>
    <w:rsid w:val="00584EA7"/>
    <w:rsid w:val="00596CF6"/>
    <w:rsid w:val="00596EDE"/>
    <w:rsid w:val="005B7390"/>
    <w:rsid w:val="005E40ED"/>
    <w:rsid w:val="006471F7"/>
    <w:rsid w:val="00654A98"/>
    <w:rsid w:val="006D4E63"/>
    <w:rsid w:val="00734920"/>
    <w:rsid w:val="00791272"/>
    <w:rsid w:val="007D2FBB"/>
    <w:rsid w:val="00830ECB"/>
    <w:rsid w:val="008406F9"/>
    <w:rsid w:val="008C08AA"/>
    <w:rsid w:val="008E1D54"/>
    <w:rsid w:val="0092716D"/>
    <w:rsid w:val="0099566B"/>
    <w:rsid w:val="009A5509"/>
    <w:rsid w:val="009B36C5"/>
    <w:rsid w:val="009B73F6"/>
    <w:rsid w:val="009B77E8"/>
    <w:rsid w:val="009C4804"/>
    <w:rsid w:val="00A82300"/>
    <w:rsid w:val="00AA6D53"/>
    <w:rsid w:val="00AB0F89"/>
    <w:rsid w:val="00B34F24"/>
    <w:rsid w:val="00B426DD"/>
    <w:rsid w:val="00BC026C"/>
    <w:rsid w:val="00BE5835"/>
    <w:rsid w:val="00C10BEA"/>
    <w:rsid w:val="00C22257"/>
    <w:rsid w:val="00C40F5C"/>
    <w:rsid w:val="00C80D4D"/>
    <w:rsid w:val="00C939FF"/>
    <w:rsid w:val="00CF5047"/>
    <w:rsid w:val="00D14879"/>
    <w:rsid w:val="00EA60A5"/>
    <w:rsid w:val="00ED2D30"/>
    <w:rsid w:val="00F818B5"/>
    <w:rsid w:val="00FC4E75"/>
  </w:rsids>
  <m:mathPr>
    <m:mathFont m:val="Cambria Math"/>
    <m:brkBin m:val="before"/>
    <m:brkBinSub m:val="--"/>
    <m:smallFrac m:val="0"/>
    <m:dispDef/>
    <m:lMargin m:val="0"/>
    <m:rMargin m:val="0"/>
    <m:defJc m:val="centerGroup"/>
    <m:wrapIndent m:val="1440"/>
    <m:intLim m:val="subSup"/>
    <m:naryLim m:val="undOvr"/>
  </m:mathPr>
  <w:themeFontLang w:val="en-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8B2768"/>
  <w15:chartTrackingRefBased/>
  <w15:docId w15:val="{9EC5822D-BBE9-2B45-9560-CA7116701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it-IT"/>
    </w:rPr>
  </w:style>
  <w:style w:type="paragraph" w:styleId="Heading1">
    <w:name w:val="heading 1"/>
    <w:basedOn w:val="Normal"/>
    <w:next w:val="Normal"/>
    <w:link w:val="Heading1Char"/>
    <w:uiPriority w:val="9"/>
    <w:qFormat/>
    <w:rsid w:val="00EA60A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EA60A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EA60A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A60A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A60A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A60A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A60A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A60A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A60A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60A5"/>
    <w:rPr>
      <w:rFonts w:asciiTheme="majorHAnsi" w:eastAsiaTheme="majorEastAsia" w:hAnsiTheme="majorHAnsi" w:cstheme="majorBidi"/>
      <w:color w:val="0F4761" w:themeColor="accent1" w:themeShade="BF"/>
      <w:sz w:val="40"/>
      <w:szCs w:val="40"/>
      <w:lang w:val="it-IT"/>
    </w:rPr>
  </w:style>
  <w:style w:type="character" w:customStyle="1" w:styleId="Heading2Char">
    <w:name w:val="Heading 2 Char"/>
    <w:basedOn w:val="DefaultParagraphFont"/>
    <w:link w:val="Heading2"/>
    <w:uiPriority w:val="9"/>
    <w:rsid w:val="00EA60A5"/>
    <w:rPr>
      <w:rFonts w:asciiTheme="majorHAnsi" w:eastAsiaTheme="majorEastAsia" w:hAnsiTheme="majorHAnsi" w:cstheme="majorBidi"/>
      <w:color w:val="0F4761" w:themeColor="accent1" w:themeShade="BF"/>
      <w:sz w:val="32"/>
      <w:szCs w:val="32"/>
      <w:lang w:val="it-IT"/>
    </w:rPr>
  </w:style>
  <w:style w:type="character" w:customStyle="1" w:styleId="Heading3Char">
    <w:name w:val="Heading 3 Char"/>
    <w:basedOn w:val="DefaultParagraphFont"/>
    <w:link w:val="Heading3"/>
    <w:uiPriority w:val="9"/>
    <w:rsid w:val="00EA60A5"/>
    <w:rPr>
      <w:rFonts w:eastAsiaTheme="majorEastAsia" w:cstheme="majorBidi"/>
      <w:color w:val="0F4761" w:themeColor="accent1" w:themeShade="BF"/>
      <w:sz w:val="28"/>
      <w:szCs w:val="28"/>
      <w:lang w:val="it-IT"/>
    </w:rPr>
  </w:style>
  <w:style w:type="character" w:customStyle="1" w:styleId="Heading4Char">
    <w:name w:val="Heading 4 Char"/>
    <w:basedOn w:val="DefaultParagraphFont"/>
    <w:link w:val="Heading4"/>
    <w:uiPriority w:val="9"/>
    <w:semiHidden/>
    <w:rsid w:val="00EA60A5"/>
    <w:rPr>
      <w:rFonts w:eastAsiaTheme="majorEastAsia" w:cstheme="majorBidi"/>
      <w:i/>
      <w:iCs/>
      <w:color w:val="0F4761" w:themeColor="accent1" w:themeShade="BF"/>
      <w:lang w:val="it-IT"/>
    </w:rPr>
  </w:style>
  <w:style w:type="character" w:customStyle="1" w:styleId="Heading5Char">
    <w:name w:val="Heading 5 Char"/>
    <w:basedOn w:val="DefaultParagraphFont"/>
    <w:link w:val="Heading5"/>
    <w:uiPriority w:val="9"/>
    <w:semiHidden/>
    <w:rsid w:val="00EA60A5"/>
    <w:rPr>
      <w:rFonts w:eastAsiaTheme="majorEastAsia" w:cstheme="majorBidi"/>
      <w:color w:val="0F4761" w:themeColor="accent1" w:themeShade="BF"/>
      <w:lang w:val="it-IT"/>
    </w:rPr>
  </w:style>
  <w:style w:type="character" w:customStyle="1" w:styleId="Heading6Char">
    <w:name w:val="Heading 6 Char"/>
    <w:basedOn w:val="DefaultParagraphFont"/>
    <w:link w:val="Heading6"/>
    <w:uiPriority w:val="9"/>
    <w:semiHidden/>
    <w:rsid w:val="00EA60A5"/>
    <w:rPr>
      <w:rFonts w:eastAsiaTheme="majorEastAsia" w:cstheme="majorBidi"/>
      <w:i/>
      <w:iCs/>
      <w:color w:val="595959" w:themeColor="text1" w:themeTint="A6"/>
      <w:lang w:val="it-IT"/>
    </w:rPr>
  </w:style>
  <w:style w:type="character" w:customStyle="1" w:styleId="Heading7Char">
    <w:name w:val="Heading 7 Char"/>
    <w:basedOn w:val="DefaultParagraphFont"/>
    <w:link w:val="Heading7"/>
    <w:uiPriority w:val="9"/>
    <w:semiHidden/>
    <w:rsid w:val="00EA60A5"/>
    <w:rPr>
      <w:rFonts w:eastAsiaTheme="majorEastAsia" w:cstheme="majorBidi"/>
      <w:color w:val="595959" w:themeColor="text1" w:themeTint="A6"/>
      <w:lang w:val="it-IT"/>
    </w:rPr>
  </w:style>
  <w:style w:type="character" w:customStyle="1" w:styleId="Heading8Char">
    <w:name w:val="Heading 8 Char"/>
    <w:basedOn w:val="DefaultParagraphFont"/>
    <w:link w:val="Heading8"/>
    <w:uiPriority w:val="9"/>
    <w:semiHidden/>
    <w:rsid w:val="00EA60A5"/>
    <w:rPr>
      <w:rFonts w:eastAsiaTheme="majorEastAsia" w:cstheme="majorBidi"/>
      <w:i/>
      <w:iCs/>
      <w:color w:val="272727" w:themeColor="text1" w:themeTint="D8"/>
      <w:lang w:val="it-IT"/>
    </w:rPr>
  </w:style>
  <w:style w:type="character" w:customStyle="1" w:styleId="Heading9Char">
    <w:name w:val="Heading 9 Char"/>
    <w:basedOn w:val="DefaultParagraphFont"/>
    <w:link w:val="Heading9"/>
    <w:uiPriority w:val="9"/>
    <w:semiHidden/>
    <w:rsid w:val="00EA60A5"/>
    <w:rPr>
      <w:rFonts w:eastAsiaTheme="majorEastAsia" w:cstheme="majorBidi"/>
      <w:color w:val="272727" w:themeColor="text1" w:themeTint="D8"/>
      <w:lang w:val="it-IT"/>
    </w:rPr>
  </w:style>
  <w:style w:type="paragraph" w:styleId="Title">
    <w:name w:val="Title"/>
    <w:basedOn w:val="Normal"/>
    <w:next w:val="Normal"/>
    <w:link w:val="TitleChar"/>
    <w:uiPriority w:val="10"/>
    <w:qFormat/>
    <w:rsid w:val="00EA60A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60A5"/>
    <w:rPr>
      <w:rFonts w:asciiTheme="majorHAnsi" w:eastAsiaTheme="majorEastAsia" w:hAnsiTheme="majorHAnsi" w:cstheme="majorBidi"/>
      <w:spacing w:val="-10"/>
      <w:kern w:val="28"/>
      <w:sz w:val="56"/>
      <w:szCs w:val="56"/>
      <w:lang w:val="it-IT"/>
    </w:rPr>
  </w:style>
  <w:style w:type="paragraph" w:styleId="Subtitle">
    <w:name w:val="Subtitle"/>
    <w:basedOn w:val="Normal"/>
    <w:next w:val="Normal"/>
    <w:link w:val="SubtitleChar"/>
    <w:uiPriority w:val="11"/>
    <w:qFormat/>
    <w:rsid w:val="00EA60A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60A5"/>
    <w:rPr>
      <w:rFonts w:eastAsiaTheme="majorEastAsia" w:cstheme="majorBidi"/>
      <w:color w:val="595959" w:themeColor="text1" w:themeTint="A6"/>
      <w:spacing w:val="15"/>
      <w:sz w:val="28"/>
      <w:szCs w:val="28"/>
      <w:lang w:val="it-IT"/>
    </w:rPr>
  </w:style>
  <w:style w:type="paragraph" w:styleId="Quote">
    <w:name w:val="Quote"/>
    <w:basedOn w:val="Normal"/>
    <w:next w:val="Normal"/>
    <w:link w:val="QuoteChar"/>
    <w:uiPriority w:val="29"/>
    <w:qFormat/>
    <w:rsid w:val="00EA60A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A60A5"/>
    <w:rPr>
      <w:i/>
      <w:iCs/>
      <w:color w:val="404040" w:themeColor="text1" w:themeTint="BF"/>
      <w:lang w:val="it-IT"/>
    </w:rPr>
  </w:style>
  <w:style w:type="paragraph" w:styleId="ListParagraph">
    <w:name w:val="List Paragraph"/>
    <w:basedOn w:val="Normal"/>
    <w:uiPriority w:val="34"/>
    <w:qFormat/>
    <w:rsid w:val="00EA60A5"/>
    <w:pPr>
      <w:ind w:left="720"/>
      <w:contextualSpacing/>
    </w:pPr>
  </w:style>
  <w:style w:type="character" w:styleId="IntenseEmphasis">
    <w:name w:val="Intense Emphasis"/>
    <w:basedOn w:val="DefaultParagraphFont"/>
    <w:uiPriority w:val="21"/>
    <w:qFormat/>
    <w:rsid w:val="00EA60A5"/>
    <w:rPr>
      <w:i/>
      <w:iCs/>
      <w:color w:val="0F4761" w:themeColor="accent1" w:themeShade="BF"/>
    </w:rPr>
  </w:style>
  <w:style w:type="paragraph" w:styleId="IntenseQuote">
    <w:name w:val="Intense Quote"/>
    <w:basedOn w:val="Normal"/>
    <w:next w:val="Normal"/>
    <w:link w:val="IntenseQuoteChar"/>
    <w:uiPriority w:val="30"/>
    <w:qFormat/>
    <w:rsid w:val="00EA60A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A60A5"/>
    <w:rPr>
      <w:i/>
      <w:iCs/>
      <w:color w:val="0F4761" w:themeColor="accent1" w:themeShade="BF"/>
      <w:lang w:val="it-IT"/>
    </w:rPr>
  </w:style>
  <w:style w:type="character" w:styleId="IntenseReference">
    <w:name w:val="Intense Reference"/>
    <w:basedOn w:val="DefaultParagraphFont"/>
    <w:uiPriority w:val="32"/>
    <w:qFormat/>
    <w:rsid w:val="00EA60A5"/>
    <w:rPr>
      <w:b/>
      <w:bCs/>
      <w:smallCaps/>
      <w:color w:val="0F4761" w:themeColor="accent1" w:themeShade="BF"/>
      <w:spacing w:val="5"/>
    </w:rPr>
  </w:style>
  <w:style w:type="paragraph" w:styleId="NormalWeb">
    <w:name w:val="Normal (Web)"/>
    <w:basedOn w:val="Normal"/>
    <w:uiPriority w:val="99"/>
    <w:unhideWhenUsed/>
    <w:rsid w:val="00EA60A5"/>
    <w:pPr>
      <w:spacing w:before="100" w:beforeAutospacing="1" w:after="100" w:afterAutospacing="1"/>
    </w:pPr>
    <w:rPr>
      <w:rFonts w:ascii="Times New Roman" w:eastAsia="Times New Roman" w:hAnsi="Times New Roman" w:cs="Times New Roman"/>
      <w:kern w:val="0"/>
      <w:lang w:val="en-IT" w:eastAsia="en-GB"/>
      <w14:ligatures w14:val="none"/>
    </w:rPr>
  </w:style>
  <w:style w:type="character" w:styleId="Emphasis">
    <w:name w:val="Emphasis"/>
    <w:basedOn w:val="DefaultParagraphFont"/>
    <w:uiPriority w:val="20"/>
    <w:qFormat/>
    <w:rsid w:val="00EA60A5"/>
    <w:rPr>
      <w:i/>
      <w:iCs/>
    </w:rPr>
  </w:style>
  <w:style w:type="character" w:styleId="Strong">
    <w:name w:val="Strong"/>
    <w:basedOn w:val="DefaultParagraphFont"/>
    <w:uiPriority w:val="22"/>
    <w:qFormat/>
    <w:rsid w:val="00EA60A5"/>
    <w:rPr>
      <w:b/>
      <w:bCs/>
    </w:rPr>
  </w:style>
  <w:style w:type="paragraph" w:styleId="FootnoteText">
    <w:name w:val="footnote text"/>
    <w:basedOn w:val="Normal"/>
    <w:link w:val="FootnoteTextChar"/>
    <w:uiPriority w:val="99"/>
    <w:semiHidden/>
    <w:unhideWhenUsed/>
    <w:rsid w:val="00057DE2"/>
    <w:rPr>
      <w:sz w:val="20"/>
      <w:szCs w:val="20"/>
    </w:rPr>
  </w:style>
  <w:style w:type="character" w:customStyle="1" w:styleId="FootnoteTextChar">
    <w:name w:val="Footnote Text Char"/>
    <w:basedOn w:val="DefaultParagraphFont"/>
    <w:link w:val="FootnoteText"/>
    <w:uiPriority w:val="99"/>
    <w:semiHidden/>
    <w:rsid w:val="00057DE2"/>
    <w:rPr>
      <w:sz w:val="20"/>
      <w:szCs w:val="20"/>
      <w:lang w:val="it-IT"/>
    </w:rPr>
  </w:style>
  <w:style w:type="character" w:styleId="FootnoteReference">
    <w:name w:val="footnote reference"/>
    <w:basedOn w:val="DefaultParagraphFont"/>
    <w:uiPriority w:val="99"/>
    <w:semiHidden/>
    <w:unhideWhenUsed/>
    <w:rsid w:val="00057DE2"/>
    <w:rPr>
      <w:vertAlign w:val="superscript"/>
    </w:rPr>
  </w:style>
  <w:style w:type="character" w:styleId="Hyperlink">
    <w:name w:val="Hyperlink"/>
    <w:basedOn w:val="DefaultParagraphFont"/>
    <w:uiPriority w:val="99"/>
    <w:unhideWhenUsed/>
    <w:rsid w:val="006471F7"/>
    <w:rPr>
      <w:color w:val="467886" w:themeColor="hyperlink"/>
      <w:u w:val="single"/>
    </w:rPr>
  </w:style>
  <w:style w:type="character" w:styleId="UnresolvedMention">
    <w:name w:val="Unresolved Mention"/>
    <w:basedOn w:val="DefaultParagraphFont"/>
    <w:uiPriority w:val="99"/>
    <w:semiHidden/>
    <w:unhideWhenUsed/>
    <w:rsid w:val="006471F7"/>
    <w:rPr>
      <w:color w:val="605E5C"/>
      <w:shd w:val="clear" w:color="auto" w:fill="E1DFDD"/>
    </w:rPr>
  </w:style>
  <w:style w:type="paragraph" w:customStyle="1" w:styleId="p1">
    <w:name w:val="p1"/>
    <w:basedOn w:val="Normal"/>
    <w:rsid w:val="007D2FBB"/>
    <w:rPr>
      <w:rFonts w:ascii="Helvetica" w:eastAsia="Times New Roman" w:hAnsi="Helvetica" w:cs="Times New Roman"/>
      <w:color w:val="1C1F3C"/>
      <w:kern w:val="0"/>
      <w:sz w:val="16"/>
      <w:szCs w:val="16"/>
      <w:lang w:val="en-IT" w:eastAsia="en-GB"/>
      <w14:ligatures w14:val="none"/>
    </w:rPr>
  </w:style>
  <w:style w:type="paragraph" w:customStyle="1" w:styleId="p2">
    <w:name w:val="p2"/>
    <w:basedOn w:val="Normal"/>
    <w:rsid w:val="007D2FBB"/>
    <w:rPr>
      <w:rFonts w:ascii="Helvetica" w:eastAsia="Times New Roman" w:hAnsi="Helvetica" w:cs="Times New Roman"/>
      <w:color w:val="000000"/>
      <w:kern w:val="0"/>
      <w:sz w:val="16"/>
      <w:szCs w:val="16"/>
      <w:lang w:val="en-IT" w:eastAsia="en-GB"/>
      <w14:ligatures w14:val="none"/>
    </w:rPr>
  </w:style>
  <w:style w:type="paragraph" w:customStyle="1" w:styleId="p3">
    <w:name w:val="p3"/>
    <w:basedOn w:val="Normal"/>
    <w:rsid w:val="007D2FBB"/>
    <w:rPr>
      <w:rFonts w:ascii="Helvetica" w:eastAsia="Times New Roman" w:hAnsi="Helvetica" w:cs="Times New Roman"/>
      <w:color w:val="000000"/>
      <w:kern w:val="0"/>
      <w:sz w:val="14"/>
      <w:szCs w:val="14"/>
      <w:lang w:val="en-IT" w:eastAsia="en-GB"/>
      <w14:ligatures w14:val="none"/>
    </w:rPr>
  </w:style>
  <w:style w:type="character" w:customStyle="1" w:styleId="s1">
    <w:name w:val="s1"/>
    <w:basedOn w:val="DefaultParagraphFont"/>
    <w:rsid w:val="007D2FBB"/>
    <w:rPr>
      <w:color w:val="000000"/>
    </w:rPr>
  </w:style>
  <w:style w:type="paragraph" w:styleId="Header">
    <w:name w:val="header"/>
    <w:basedOn w:val="Normal"/>
    <w:link w:val="HeaderChar"/>
    <w:uiPriority w:val="99"/>
    <w:unhideWhenUsed/>
    <w:rsid w:val="007D2FBB"/>
    <w:pPr>
      <w:tabs>
        <w:tab w:val="center" w:pos="4513"/>
        <w:tab w:val="right" w:pos="9026"/>
      </w:tabs>
    </w:pPr>
  </w:style>
  <w:style w:type="character" w:customStyle="1" w:styleId="HeaderChar">
    <w:name w:val="Header Char"/>
    <w:basedOn w:val="DefaultParagraphFont"/>
    <w:link w:val="Header"/>
    <w:uiPriority w:val="99"/>
    <w:rsid w:val="007D2FBB"/>
    <w:rPr>
      <w:lang w:val="it-IT"/>
    </w:rPr>
  </w:style>
  <w:style w:type="paragraph" w:styleId="Footer">
    <w:name w:val="footer"/>
    <w:basedOn w:val="Normal"/>
    <w:link w:val="FooterChar"/>
    <w:uiPriority w:val="99"/>
    <w:unhideWhenUsed/>
    <w:rsid w:val="007D2FBB"/>
    <w:pPr>
      <w:tabs>
        <w:tab w:val="center" w:pos="4513"/>
        <w:tab w:val="right" w:pos="9026"/>
      </w:tabs>
    </w:pPr>
  </w:style>
  <w:style w:type="character" w:customStyle="1" w:styleId="FooterChar">
    <w:name w:val="Footer Char"/>
    <w:basedOn w:val="DefaultParagraphFont"/>
    <w:link w:val="Footer"/>
    <w:uiPriority w:val="99"/>
    <w:rsid w:val="007D2FBB"/>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5</Pages>
  <Words>1814</Words>
  <Characters>10340</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cp:lastModifiedBy>
  <cp:revision>16</cp:revision>
  <dcterms:created xsi:type="dcterms:W3CDTF">2025-10-01T10:01:00Z</dcterms:created>
  <dcterms:modified xsi:type="dcterms:W3CDTF">2026-05-07T06:52:00Z</dcterms:modified>
</cp:coreProperties>
</file>